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hint="default" w:ascii="Times New Roman" w:hAnsi="Times New Roman" w:eastAsia="黑体" w:cs="Times New Roman"/>
          <w:b/>
          <w:bCs w:val="0"/>
          <w:sz w:val="32"/>
          <w:szCs w:val="28"/>
        </w:rPr>
      </w:pPr>
      <w:bookmarkStart w:id="0" w:name="_Toc12644"/>
      <w:r>
        <w:rPr>
          <w:rFonts w:hint="default" w:ascii="Times New Roman" w:hAnsi="Times New Roman" w:eastAsia="黑体" w:cs="Times New Roman"/>
          <w:b/>
          <w:bCs w:val="0"/>
          <w:sz w:val="32"/>
          <w:szCs w:val="28"/>
        </w:rPr>
        <w:t>附件：物资需求一览表</w:t>
      </w:r>
      <w:bookmarkEnd w:id="0"/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1341" w:tblpY="67"/>
        <w:tblOverlap w:val="never"/>
        <w:tblW w:w="14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592"/>
        <w:gridCol w:w="1193"/>
        <w:gridCol w:w="1052"/>
        <w:gridCol w:w="1250"/>
        <w:gridCol w:w="1088"/>
        <w:gridCol w:w="1671"/>
        <w:gridCol w:w="1258"/>
        <w:gridCol w:w="1456"/>
        <w:gridCol w:w="190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物资</w:t>
            </w:r>
            <w:r>
              <w:rPr>
                <w:rFonts w:hint="eastAsia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67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预计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采购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5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45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预计供货期</w:t>
            </w:r>
          </w:p>
        </w:tc>
        <w:tc>
          <w:tcPr>
            <w:tcW w:w="190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西宁至工地参考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运距（KM）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青海第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路桥建设有限公司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祁大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项目部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沥青</w:t>
            </w: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90号（A）</w:t>
            </w:r>
          </w:p>
        </w:tc>
        <w:tc>
          <w:tcPr>
            <w:tcW w:w="167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25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14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90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小计</w:t>
            </w:r>
          </w:p>
        </w:tc>
        <w:tc>
          <w:tcPr>
            <w:tcW w:w="119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吨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7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5166</w:t>
            </w:r>
          </w:p>
        </w:tc>
        <w:tc>
          <w:tcPr>
            <w:tcW w:w="125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备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以上数量均为预计数量，具体数量以实际使用量为准，招标人不承担因数量变动给投标人带来的任何损失，具体进货时间根据工程实际进度需求而定，投标人应予理解并接受。</w:t>
      </w:r>
    </w:p>
    <w:p>
      <w:pPr>
        <w:pStyle w:val="2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2、报价为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综合性报价、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一次性报价（含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材料费和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运费），在整个合同期内不予调价。投标人在报价时应充分考虑路况（山路崎岖、路窄、沙石便道路段较长等）、油价上涨及高海拔等因素的影响综合报价。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3、提供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合法有效的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13%增值税专用发票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，一票制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4、以上运距为西宁至项目所在地指定地点的参考运距。</w:t>
      </w:r>
    </w:p>
    <w:p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5、产品各项技术指标符合《公路沥青路面施工技术规范》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JTGF40-2004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）。</w:t>
      </w:r>
    </w:p>
    <w:sectPr>
      <w:footnotePr>
        <w:numFmt w:val="decimal"/>
      </w:footnotePr>
      <w:pgSz w:w="16838" w:h="11906" w:orient="landscape"/>
      <w:pgMar w:top="1803" w:right="1440" w:bottom="1797" w:left="1440" w:header="851" w:footer="850" w:gutter="0"/>
      <w:cols w:space="0" w:num="1"/>
      <w:rtlGutter w:val="0"/>
      <w:docGrid w:type="linesAndChars" w:linePitch="319" w:charSpace="1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0B4A"/>
    <w:rsid w:val="1B184DE9"/>
    <w:rsid w:val="28FD01D5"/>
    <w:rsid w:val="2B5A1062"/>
    <w:rsid w:val="595A0B4A"/>
    <w:rsid w:val="6BB7557D"/>
    <w:rsid w:val="72092E5D"/>
    <w:rsid w:val="75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2021-06-09T08:11:00Z</dcterms:created>
  <dc:creator>000</dc:creator>
  <cp:lastModifiedBy>000</cp:lastModifiedBy>
  <dcterms:modified xsi:type="dcterms:W3CDTF">2021-06-09T08:14:49Z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