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青海</w:t>
      </w:r>
      <w:r>
        <w:rPr>
          <w:rFonts w:hint="eastAsia" w:asciiTheme="majorEastAsia" w:hAnsiTheme="majorEastAsia" w:eastAsiaTheme="majorEastAsia" w:cstheme="majorEastAsia"/>
          <w:b/>
          <w:sz w:val="30"/>
          <w:szCs w:val="30"/>
          <w:lang w:val="en-US" w:eastAsia="zh-CN"/>
        </w:rPr>
        <w:t>省</w:t>
      </w:r>
      <w:r>
        <w:rPr>
          <w:rFonts w:hint="eastAsia" w:asciiTheme="majorEastAsia" w:hAnsiTheme="majorEastAsia" w:eastAsiaTheme="majorEastAsia" w:cstheme="majorEastAsia"/>
          <w:b/>
          <w:color w:val="000000" w:themeColor="text1"/>
          <w:sz w:val="30"/>
          <w:szCs w:val="30"/>
        </w:rPr>
        <w:t>天翔工程科研检测</w:t>
      </w:r>
      <w:r>
        <w:rPr>
          <w:rFonts w:hint="eastAsia" w:asciiTheme="majorEastAsia" w:hAnsiTheme="majorEastAsia" w:eastAsiaTheme="majorEastAsia" w:cstheme="majorEastAsia"/>
          <w:b/>
          <w:sz w:val="30"/>
          <w:szCs w:val="30"/>
        </w:rPr>
        <w:t>有限公司</w:t>
      </w:r>
      <w:r>
        <w:rPr>
          <w:rFonts w:hint="eastAsia" w:asciiTheme="majorEastAsia" w:hAnsiTheme="majorEastAsia" w:eastAsiaTheme="majorEastAsia" w:cstheme="majorEastAsia"/>
          <w:b/>
          <w:sz w:val="30"/>
          <w:szCs w:val="30"/>
          <w:lang w:val="en-US" w:eastAsia="zh-CN"/>
        </w:rPr>
        <w:t>混改</w:t>
      </w:r>
      <w:r>
        <w:rPr>
          <w:rFonts w:hint="eastAsia" w:asciiTheme="majorEastAsia" w:hAnsiTheme="majorEastAsia" w:eastAsiaTheme="majorEastAsia" w:cstheme="majorEastAsia"/>
          <w:b/>
          <w:sz w:val="30"/>
          <w:szCs w:val="30"/>
        </w:rPr>
        <w:t>增资</w:t>
      </w:r>
      <w:r>
        <w:rPr>
          <w:rFonts w:hint="eastAsia" w:asciiTheme="majorEastAsia" w:hAnsiTheme="majorEastAsia" w:eastAsiaTheme="majorEastAsia" w:cstheme="majorEastAsia"/>
          <w:b/>
          <w:sz w:val="30"/>
          <w:szCs w:val="30"/>
          <w:lang w:val="en-US" w:eastAsia="zh-CN"/>
        </w:rPr>
        <w:t>扩股意向</w:t>
      </w:r>
      <w:r>
        <w:rPr>
          <w:rFonts w:hint="eastAsia" w:asciiTheme="majorEastAsia" w:hAnsiTheme="majorEastAsia" w:eastAsiaTheme="majorEastAsia" w:cstheme="majorEastAsia"/>
          <w:b/>
          <w:sz w:val="30"/>
          <w:szCs w:val="30"/>
        </w:rPr>
        <w:t>协议</w:t>
      </w:r>
    </w:p>
    <w:p>
      <w:pPr>
        <w:pStyle w:val="8"/>
        <w:tabs>
          <w:tab w:val="left" w:pos="10980"/>
        </w:tabs>
        <w:snapToGrid w:val="0"/>
        <w:spacing w:before="156" w:beforeLines="50" w:beforeAutospacing="0" w:after="0" w:afterAutospacing="0" w:line="360" w:lineRule="auto"/>
        <w:jc w:val="center"/>
        <w:rPr>
          <w:rFonts w:hint="eastAsia" w:ascii="宋体" w:hAnsi="宋体" w:eastAsia="宋体"/>
          <w:u w:val="none"/>
          <w:lang w:eastAsia="zh-CN"/>
        </w:rPr>
      </w:pPr>
      <w:r>
        <w:rPr>
          <w:rFonts w:hint="eastAsia" w:ascii="宋体" w:hAnsi="宋体"/>
          <w:u w:val="none"/>
          <w:lang w:eastAsia="zh-CN"/>
        </w:rPr>
        <w:t>（</w:t>
      </w:r>
      <w:r>
        <w:rPr>
          <w:rFonts w:hint="eastAsia" w:ascii="宋体" w:hAnsi="宋体"/>
          <w:u w:val="none"/>
          <w:lang w:val="en-US" w:eastAsia="zh-CN"/>
        </w:rPr>
        <w:t>代股改方案）</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甲方：</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1.青海路桥建设股份有限公司</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u w:val="single"/>
        </w:rPr>
      </w:pPr>
      <w:r>
        <w:rPr>
          <w:rFonts w:hint="eastAsia" w:ascii="宋体" w:hAnsi="宋体"/>
          <w:b/>
        </w:rPr>
        <w:t>住所：</w:t>
      </w:r>
      <w:r>
        <w:rPr>
          <w:rFonts w:hint="eastAsia" w:ascii="宋体" w:hAnsi="宋体"/>
          <w:b/>
          <w:u w:val="single"/>
          <w:lang w:val="en-US" w:eastAsia="zh-CN"/>
        </w:rPr>
        <w:t>西宁市城西区五四西路15号</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u w:val="single"/>
        </w:rPr>
      </w:pPr>
      <w:r>
        <w:rPr>
          <w:rFonts w:hint="eastAsia" w:ascii="宋体" w:hAnsi="宋体"/>
          <w:b/>
        </w:rPr>
        <w:t>法定代表人：</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jc w:val="both"/>
        <w:rPr>
          <w:rFonts w:ascii="宋体" w:hAnsi="宋体"/>
          <w:u w:val="single"/>
        </w:rPr>
      </w:pP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乙方：公司</w:t>
      </w:r>
      <w:r>
        <w:rPr>
          <w:rFonts w:hint="eastAsia" w:ascii="宋体" w:hAnsi="宋体"/>
          <w:b/>
          <w:lang w:val="en-US" w:eastAsia="zh-CN"/>
        </w:rPr>
        <w:t>或自然人</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rPr>
      </w:pPr>
      <w:r>
        <w:rPr>
          <w:rFonts w:hint="eastAsia" w:ascii="宋体" w:hAnsi="宋体"/>
          <w:b/>
        </w:rPr>
        <w:t>1.</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u w:val="single"/>
        </w:rPr>
      </w:pPr>
      <w:r>
        <w:rPr>
          <w:rFonts w:hint="eastAsia" w:ascii="宋体" w:hAnsi="宋体"/>
          <w:b/>
        </w:rPr>
        <w:t>住所：</w:t>
      </w:r>
      <w:r>
        <w:rPr>
          <w:rFonts w:hint="eastAsia" w:ascii="宋体" w:hAnsi="宋体"/>
          <w:u w:val="single"/>
        </w:rPr>
        <w:t xml:space="preserve">                       </w:t>
      </w:r>
      <w:r>
        <w:rPr>
          <w:rFonts w:hint="eastAsia" w:ascii="宋体" w:hAnsi="宋体"/>
          <w:b/>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法定代表人：</w:t>
      </w:r>
      <w:r>
        <w:rPr>
          <w:rFonts w:hint="eastAsia" w:ascii="宋体" w:hAnsi="宋体"/>
          <w:b/>
          <w:u w:val="single"/>
        </w:rPr>
        <w:t xml:space="preserve">                       </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u w:val="single"/>
        </w:rPr>
      </w:pP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rPr>
      </w:pPr>
      <w:r>
        <w:rPr>
          <w:rFonts w:hint="eastAsia" w:ascii="宋体" w:hAnsi="宋体"/>
          <w:b/>
        </w:rPr>
        <w:t>丙方：</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eastAsia="宋体"/>
          <w:b/>
          <w:lang w:val="en-US" w:eastAsia="zh-CN"/>
        </w:rPr>
      </w:pPr>
      <w:r>
        <w:rPr>
          <w:rFonts w:hint="eastAsia" w:ascii="宋体" w:hAnsi="宋体"/>
          <w:b/>
          <w:lang w:val="en-US" w:eastAsia="zh-CN"/>
        </w:rPr>
        <w:t>1.</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u w:val="single"/>
        </w:rPr>
      </w:pPr>
      <w:r>
        <w:rPr>
          <w:rFonts w:hint="eastAsia" w:ascii="宋体" w:hAnsi="宋体"/>
          <w:b/>
        </w:rPr>
        <w:t>住所：</w:t>
      </w:r>
      <w:r>
        <w:rPr>
          <w:rFonts w:hint="eastAsia" w:ascii="宋体" w:hAnsi="宋体"/>
          <w:u w:val="single"/>
        </w:rPr>
        <w:t xml:space="preserve">                       </w:t>
      </w:r>
      <w:r>
        <w:rPr>
          <w:rFonts w:hint="eastAsia" w:ascii="宋体" w:hAnsi="宋体"/>
          <w:b/>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u w:val="single"/>
        </w:rPr>
      </w:pPr>
      <w:r>
        <w:rPr>
          <w:rFonts w:hint="eastAsia" w:ascii="宋体" w:hAnsi="宋体"/>
          <w:b/>
        </w:rPr>
        <w:t>法定代表人：</w:t>
      </w:r>
      <w:r>
        <w:rPr>
          <w:rFonts w:hint="eastAsia" w:ascii="宋体" w:hAnsi="宋体"/>
          <w:b/>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u w:val="none"/>
          <w:lang w:val="en-US" w:eastAsia="zh-CN"/>
        </w:rPr>
      </w:pPr>
      <w:r>
        <w:rPr>
          <w:rFonts w:hint="eastAsia" w:ascii="宋体" w:hAnsi="宋体"/>
          <w:b/>
          <w:u w:val="none"/>
          <w:lang w:val="en-US" w:eastAsia="zh-CN"/>
        </w:rPr>
        <w:t>丁方</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rPr>
      </w:pPr>
      <w:r>
        <w:rPr>
          <w:rFonts w:hint="eastAsia" w:ascii="宋体" w:hAnsi="宋体"/>
          <w:b/>
          <w:lang w:val="en-US" w:eastAsia="zh-CN"/>
        </w:rPr>
        <w:t>1</w:t>
      </w:r>
      <w:r>
        <w:rPr>
          <w:rFonts w:hint="eastAsia" w:ascii="宋体" w:hAnsi="宋体"/>
          <w:b/>
        </w:rPr>
        <w:t>.</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u w:val="single"/>
        </w:rPr>
      </w:pPr>
      <w:r>
        <w:rPr>
          <w:rFonts w:hint="eastAsia" w:ascii="宋体" w:hAnsi="宋体"/>
          <w:b/>
        </w:rPr>
        <w:t>住址：</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u w:val="single"/>
        </w:rPr>
      </w:pPr>
      <w:r>
        <w:rPr>
          <w:rFonts w:hint="eastAsia" w:ascii="宋体" w:hAnsi="宋体"/>
          <w:b/>
        </w:rPr>
        <w:t>身份证号：</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lang w:val="en-US" w:eastAsia="zh-CN"/>
        </w:rPr>
      </w:pP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lang w:val="en-US" w:eastAsia="zh-CN"/>
        </w:rPr>
      </w:pPr>
      <w:r>
        <w:rPr>
          <w:rFonts w:hint="eastAsia" w:ascii="宋体" w:hAnsi="宋体"/>
          <w:b/>
          <w:lang w:val="en-US" w:eastAsia="zh-CN"/>
        </w:rPr>
        <w:t>目标公司</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eastAsia="宋体"/>
          <w:b/>
          <w:lang w:val="en-US" w:eastAsia="zh-CN"/>
        </w:rPr>
      </w:pPr>
      <w:r>
        <w:rPr>
          <w:rFonts w:hint="eastAsia" w:ascii="宋体" w:hAnsi="宋体"/>
          <w:b/>
          <w:lang w:val="en-US" w:eastAsia="zh-CN"/>
        </w:rPr>
        <w:t>1.</w:t>
      </w:r>
      <w:r>
        <w:rPr>
          <w:rFonts w:hint="eastAsia" w:ascii="宋体" w:hAnsi="宋体"/>
        </w:rPr>
        <w:t>青海省天翔工程科研检测</w:t>
      </w:r>
      <w:r>
        <w:rPr>
          <w:rFonts w:asciiTheme="minorEastAsia" w:hAnsiTheme="minorEastAsia" w:eastAsiaTheme="minorEastAsia"/>
        </w:rPr>
        <w:t>有限公司</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u w:val="single"/>
        </w:rPr>
      </w:pPr>
      <w:r>
        <w:rPr>
          <w:rFonts w:hint="eastAsia" w:ascii="宋体" w:hAnsi="宋体"/>
          <w:b/>
        </w:rPr>
        <w:t>住所：</w:t>
      </w:r>
      <w:r>
        <w:rPr>
          <w:rFonts w:hint="eastAsia" w:asciiTheme="minorEastAsia" w:hAnsiTheme="minorEastAsia" w:eastAsiaTheme="minorEastAsia"/>
          <w:color w:val="131313"/>
          <w:sz w:val="24"/>
          <w:szCs w:val="24"/>
          <w:u w:val="single"/>
          <w:shd w:val="clear" w:color="auto" w:fill="FFFFFF"/>
        </w:rPr>
        <w:t>西宁市城北区朝阳西路17号</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u w:val="single"/>
        </w:rPr>
      </w:pPr>
      <w:r>
        <w:rPr>
          <w:rFonts w:hint="eastAsia" w:ascii="宋体" w:hAnsi="宋体"/>
          <w:b/>
        </w:rPr>
        <w:t>法定代表人：</w:t>
      </w:r>
      <w:bookmarkStart w:id="0" w:name="_GoBack"/>
      <w:bookmarkEnd w:id="0"/>
      <w:r>
        <w:rPr>
          <w:rFonts w:hint="eastAsia" w:ascii="宋体" w:hAnsi="宋体"/>
          <w:b/>
          <w:u w:val="single"/>
          <w:lang w:val="en-US" w:eastAsia="zh-CN"/>
        </w:rPr>
        <w:t>张清华</w:t>
      </w:r>
      <w:r>
        <w:rPr>
          <w:rFonts w:hint="eastAsia" w:ascii="宋体" w:hAnsi="宋体"/>
          <w:b/>
          <w:u w:val="single"/>
        </w:rPr>
        <w:t xml:space="preserve">                </w:t>
      </w:r>
    </w:p>
    <w:p>
      <w:pPr>
        <w:pStyle w:val="8"/>
        <w:tabs>
          <w:tab w:val="left" w:pos="10980"/>
        </w:tabs>
        <w:snapToGrid w:val="0"/>
        <w:spacing w:before="156" w:beforeLines="50" w:beforeAutospacing="0" w:after="0" w:afterAutospacing="0" w:line="360" w:lineRule="auto"/>
        <w:ind w:firstLine="480" w:firstLineChars="200"/>
        <w:jc w:val="both"/>
        <w:rPr>
          <w:rFonts w:hint="eastAsia" w:ascii="宋体" w:hAnsi="宋体"/>
          <w:b w:val="0"/>
          <w:bCs/>
          <w:u w:val="none"/>
          <w:lang w:val="en-US" w:eastAsia="zh-CN"/>
        </w:rPr>
      </w:pPr>
    </w:p>
    <w:p>
      <w:pPr>
        <w:pStyle w:val="8"/>
        <w:tabs>
          <w:tab w:val="left" w:pos="10980"/>
        </w:tabs>
        <w:snapToGrid w:val="0"/>
        <w:spacing w:before="156" w:beforeLines="50" w:beforeAutospacing="0" w:after="0" w:afterAutospacing="0" w:line="360" w:lineRule="auto"/>
        <w:ind w:firstLine="480" w:firstLineChars="200"/>
        <w:jc w:val="both"/>
        <w:rPr>
          <w:rFonts w:hint="eastAsia" w:ascii="宋体" w:hAnsi="宋体"/>
          <w:b w:val="0"/>
          <w:bCs/>
          <w:u w:val="none"/>
          <w:lang w:val="en-US" w:eastAsia="zh-CN"/>
        </w:rPr>
      </w:pPr>
      <w:r>
        <w:rPr>
          <w:rFonts w:hint="eastAsia" w:ascii="宋体" w:hAnsi="宋体"/>
          <w:b w:val="0"/>
          <w:bCs/>
          <w:u w:val="none"/>
          <w:lang w:val="en-US" w:eastAsia="zh-CN"/>
        </w:rPr>
        <w:t>为贯彻落实党中央国务院关于深化混合所有制改革重大决策部署，青海路桥集团以市场化改革为目标，以国有资产保值增值、国有资产不流失为红线，以差异化法人治理体系和监督体系为核心和保障，以经营机制创新为动力，探索国有相对控股混合所有制企业的差异化管控模式，以管企业向管资本转型，深入推进混合所有制企业改革，真正让改革的混合所有制企业成为市场主体，全面激发干部职工的积极性，激发企业经营活力，推动企业高质量发展。甲方通过增资扩股方式对</w:t>
      </w:r>
      <w:r>
        <w:rPr>
          <w:rFonts w:hint="eastAsia" w:ascii="宋体" w:hAnsi="宋体"/>
          <w:b w:val="0"/>
          <w:bCs/>
        </w:rPr>
        <w:t>青海省天翔工程科研检测</w:t>
      </w:r>
      <w:r>
        <w:rPr>
          <w:rFonts w:asciiTheme="minorEastAsia" w:hAnsiTheme="minorEastAsia" w:eastAsiaTheme="minorEastAsia"/>
          <w:b w:val="0"/>
          <w:bCs/>
        </w:rPr>
        <w:t>有限公司</w:t>
      </w:r>
      <w:r>
        <w:rPr>
          <w:rFonts w:hint="eastAsia" w:ascii="宋体" w:hAnsi="宋体"/>
          <w:b w:val="0"/>
          <w:bCs/>
          <w:u w:val="none"/>
          <w:lang w:val="en-US" w:eastAsia="zh-CN"/>
        </w:rPr>
        <w:t>进行混合所有制改革。</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鉴于：</w:t>
      </w:r>
    </w:p>
    <w:p>
      <w:pPr>
        <w:pStyle w:val="8"/>
        <w:tabs>
          <w:tab w:val="left" w:pos="10980"/>
        </w:tabs>
        <w:snapToGrid w:val="0"/>
        <w:spacing w:before="156" w:beforeLines="50" w:beforeAutospacing="0" w:after="0" w:afterAutospacing="0" w:line="360" w:lineRule="auto"/>
        <w:ind w:firstLine="480"/>
        <w:jc w:val="both"/>
        <w:rPr>
          <w:rFonts w:ascii="宋体" w:hAnsi="宋体"/>
        </w:rPr>
      </w:pPr>
      <w:r>
        <w:rPr>
          <w:rFonts w:hint="eastAsia" w:ascii="宋体" w:hAnsi="宋体"/>
        </w:rPr>
        <w:t>1.青海省天翔工程科研检测</w:t>
      </w:r>
      <w:r>
        <w:rPr>
          <w:rFonts w:asciiTheme="minorEastAsia" w:hAnsiTheme="minorEastAsia" w:eastAsiaTheme="minorEastAsia"/>
        </w:rPr>
        <w:t>有限公司</w:t>
      </w:r>
      <w:r>
        <w:rPr>
          <w:rFonts w:hint="eastAsia" w:ascii="宋体" w:hAnsi="宋体"/>
        </w:rPr>
        <w:t>（以下简称“目标公司”）系依法设立并合法存续的有限责任公司，</w:t>
      </w:r>
      <w:r>
        <w:rPr>
          <w:rFonts w:hint="eastAsia" w:ascii="宋体" w:hAnsi="宋体"/>
          <w:color w:val="C00000"/>
          <w:lang w:val="en-US" w:eastAsia="zh-CN"/>
        </w:rPr>
        <w:t>公司注册</w:t>
      </w:r>
      <w:r>
        <w:rPr>
          <w:rFonts w:hint="eastAsia" w:ascii="宋体" w:hAnsi="宋体"/>
          <w:color w:val="C00000"/>
        </w:rPr>
        <w:t>资本</w:t>
      </w:r>
      <w:r>
        <w:rPr>
          <w:rFonts w:hint="eastAsia" w:ascii="宋体" w:hAnsi="宋体"/>
          <w:color w:val="C00000"/>
          <w:lang w:val="en-US" w:eastAsia="zh-CN"/>
        </w:rPr>
        <w:t>5000万元，其中：</w:t>
      </w:r>
      <w:r>
        <w:rPr>
          <w:rFonts w:hint="eastAsia" w:ascii="宋体" w:hAnsi="宋体"/>
          <w:b w:val="0"/>
          <w:bCs/>
          <w:color w:val="C00000"/>
        </w:rPr>
        <w:t>青海路桥建设股份有限公司</w:t>
      </w:r>
      <w:r>
        <w:rPr>
          <w:rFonts w:hint="eastAsia" w:ascii="宋体" w:hAnsi="宋体"/>
          <w:b w:val="0"/>
          <w:bCs/>
          <w:color w:val="C00000"/>
          <w:lang w:eastAsia="zh-CN"/>
        </w:rPr>
        <w:t>（</w:t>
      </w:r>
      <w:r>
        <w:rPr>
          <w:rFonts w:hint="eastAsia" w:ascii="宋体" w:hAnsi="宋体"/>
          <w:b w:val="0"/>
          <w:bCs/>
          <w:color w:val="C00000"/>
          <w:lang w:val="en-US" w:eastAsia="zh-CN"/>
        </w:rPr>
        <w:t>以下简称甲方）2250万元，</w:t>
      </w:r>
      <w:r>
        <w:rPr>
          <w:rFonts w:hint="eastAsia" w:ascii="宋体" w:hAnsi="宋体"/>
          <w:color w:val="C00000"/>
          <w:lang w:val="en-US" w:eastAsia="zh-CN"/>
        </w:rPr>
        <w:t>青海第三路桥建设有限公司2450万元。股东实缴出资（股本）</w:t>
      </w:r>
      <w:r>
        <w:rPr>
          <w:rFonts w:hint="eastAsia" w:ascii="宋体" w:hAnsi="宋体"/>
          <w:color w:val="C00000"/>
        </w:rPr>
        <w:t>为180万元</w:t>
      </w:r>
      <w:r>
        <w:rPr>
          <w:rFonts w:hint="eastAsia" w:ascii="宋体" w:hAnsi="宋体"/>
          <w:color w:val="C00000"/>
          <w:lang w:eastAsia="zh-CN"/>
        </w:rPr>
        <w:t>，</w:t>
      </w:r>
      <w:r>
        <w:rPr>
          <w:rFonts w:hint="eastAsia" w:ascii="宋体" w:hAnsi="宋体"/>
          <w:lang w:val="en-US" w:eastAsia="zh-CN"/>
        </w:rPr>
        <w:t>全部由</w:t>
      </w:r>
      <w:r>
        <w:rPr>
          <w:rFonts w:hint="eastAsia" w:ascii="宋体" w:hAnsi="宋体"/>
          <w:b w:val="0"/>
          <w:bCs/>
        </w:rPr>
        <w:t>青海路桥建设股份有限公司</w:t>
      </w:r>
      <w:r>
        <w:rPr>
          <w:rFonts w:hint="eastAsia" w:ascii="宋体" w:hAnsi="宋体"/>
          <w:b w:val="0"/>
          <w:bCs/>
          <w:lang w:eastAsia="zh-CN"/>
        </w:rPr>
        <w:t>（</w:t>
      </w:r>
      <w:r>
        <w:rPr>
          <w:rFonts w:hint="eastAsia" w:ascii="宋体" w:hAnsi="宋体"/>
          <w:lang w:val="en-US" w:eastAsia="zh-CN"/>
        </w:rPr>
        <w:t>甲方）出资。青海第三路桥建设有限公司承诺全额退出，按规定办理相关减资手续。</w:t>
      </w:r>
    </w:p>
    <w:p>
      <w:pPr>
        <w:pStyle w:val="8"/>
        <w:tabs>
          <w:tab w:val="left" w:pos="10980"/>
        </w:tabs>
        <w:snapToGrid w:val="0"/>
        <w:spacing w:before="156" w:beforeLines="50" w:beforeAutospacing="0" w:after="0" w:afterAutospacing="0" w:line="360" w:lineRule="auto"/>
        <w:ind w:firstLine="480"/>
        <w:jc w:val="both"/>
        <w:rPr>
          <w:rFonts w:ascii="宋体" w:hAnsi="宋体"/>
        </w:rPr>
      </w:pPr>
      <w:r>
        <w:rPr>
          <w:rFonts w:hint="eastAsia" w:ascii="宋体" w:hAnsi="宋体"/>
        </w:rPr>
        <w:t>2.</w:t>
      </w:r>
      <w:r>
        <w:rPr>
          <w:rFonts w:hint="eastAsia" w:ascii="宋体" w:hAnsi="宋体"/>
          <w:b w:val="0"/>
          <w:bCs/>
        </w:rPr>
        <w:t>青海路桥建设股份有限公司</w:t>
      </w:r>
      <w:r>
        <w:rPr>
          <w:rFonts w:hint="eastAsia" w:ascii="宋体" w:hAnsi="宋体"/>
        </w:rPr>
        <w:t>（分别为本协议“甲方”） 系依法设立并合法存续的</w:t>
      </w:r>
      <w:r>
        <w:rPr>
          <w:rFonts w:hint="eastAsia" w:ascii="宋体" w:hAnsi="宋体"/>
          <w:lang w:val="en-US" w:eastAsia="zh-CN"/>
        </w:rPr>
        <w:t>股份</w:t>
      </w:r>
      <w:r>
        <w:rPr>
          <w:rFonts w:hint="eastAsia" w:ascii="宋体" w:hAnsi="宋体"/>
        </w:rPr>
        <w:t>有限公司。为目标公司股东，截至本协议签订之日，</w:t>
      </w:r>
      <w:r>
        <w:rPr>
          <w:rFonts w:hint="eastAsia" w:ascii="宋体" w:hAnsi="宋体"/>
          <w:color w:val="C00000"/>
          <w:lang w:val="en-US" w:eastAsia="zh-CN"/>
        </w:rPr>
        <w:t>甲</w:t>
      </w:r>
      <w:r>
        <w:rPr>
          <w:rFonts w:hint="eastAsia" w:ascii="宋体" w:hAnsi="宋体"/>
          <w:color w:val="C00000"/>
        </w:rPr>
        <w:t>方与</w:t>
      </w:r>
      <w:r>
        <w:rPr>
          <w:rFonts w:hint="eastAsia" w:ascii="宋体" w:hAnsi="宋体"/>
          <w:color w:val="C00000"/>
          <w:lang w:val="en-US" w:eastAsia="zh-CN"/>
        </w:rPr>
        <w:t>所属青海第三路桥建设有限公司</w:t>
      </w:r>
      <w:r>
        <w:rPr>
          <w:rFonts w:hint="eastAsia" w:ascii="宋体" w:hAnsi="宋体"/>
          <w:color w:val="C00000"/>
        </w:rPr>
        <w:t>共同持有目标公司100％股权，</w:t>
      </w:r>
      <w:r>
        <w:rPr>
          <w:rFonts w:hint="eastAsia" w:ascii="宋体" w:hAnsi="宋体"/>
          <w:color w:val="C00000"/>
          <w:lang w:val="en-US" w:eastAsia="zh-CN"/>
        </w:rPr>
        <w:t>青海第三路桥建设有限公司承诺全额退出并配合办理减资手续，</w:t>
      </w:r>
      <w:r>
        <w:rPr>
          <w:rFonts w:hint="eastAsia" w:ascii="宋体" w:hAnsi="宋体"/>
          <w:b w:val="0"/>
          <w:bCs/>
          <w:color w:val="C00000"/>
        </w:rPr>
        <w:t>青海路桥建设股份有限公司</w:t>
      </w:r>
      <w:r>
        <w:rPr>
          <w:rFonts w:hint="eastAsia" w:ascii="宋体" w:hAnsi="宋体"/>
          <w:b w:val="0"/>
          <w:bCs/>
          <w:color w:val="C00000"/>
          <w:lang w:eastAsia="zh-CN"/>
        </w:rPr>
        <w:t>（</w:t>
      </w:r>
      <w:r>
        <w:rPr>
          <w:rFonts w:hint="eastAsia" w:ascii="宋体" w:hAnsi="宋体"/>
          <w:color w:val="C00000"/>
          <w:lang w:val="en-US" w:eastAsia="zh-CN"/>
        </w:rPr>
        <w:t>甲方）将持有目标公司100%股份。</w:t>
      </w:r>
      <w:r>
        <w:rPr>
          <w:rFonts w:hint="eastAsia" w:ascii="宋体" w:hAnsi="宋体"/>
        </w:rPr>
        <w:t>青海路桥</w:t>
      </w:r>
      <w:r>
        <w:rPr>
          <w:rFonts w:hint="eastAsia" w:ascii="宋体" w:hAnsi="宋体"/>
          <w:lang w:val="en-US" w:eastAsia="zh-CN"/>
        </w:rPr>
        <w:t>建设股份</w:t>
      </w:r>
      <w:r>
        <w:rPr>
          <w:rFonts w:hint="eastAsia" w:ascii="宋体" w:hAnsi="宋体"/>
        </w:rPr>
        <w:t>有限公司</w:t>
      </w:r>
      <w:r>
        <w:rPr>
          <w:rFonts w:hint="eastAsia" w:ascii="宋体" w:hAnsi="宋体"/>
          <w:lang w:val="en-US" w:eastAsia="zh-CN"/>
        </w:rPr>
        <w:t>实际出资180万元，占实际出资的100</w:t>
      </w:r>
      <w:r>
        <w:rPr>
          <w:rFonts w:hint="eastAsia" w:ascii="宋体" w:hAnsi="宋体"/>
        </w:rPr>
        <w:t>%</w:t>
      </w:r>
      <w:r>
        <w:rPr>
          <w:rFonts w:hint="eastAsia" w:ascii="宋体" w:hAnsi="宋体"/>
          <w:lang w:eastAsia="zh-CN"/>
        </w:rPr>
        <w:t>；</w:t>
      </w:r>
    </w:p>
    <w:p>
      <w:pPr>
        <w:pStyle w:val="8"/>
        <w:tabs>
          <w:tab w:val="left" w:pos="10980"/>
        </w:tabs>
        <w:snapToGrid w:val="0"/>
        <w:spacing w:before="156" w:beforeLines="50" w:beforeAutospacing="0" w:after="0" w:afterAutospacing="0" w:line="360" w:lineRule="auto"/>
        <w:ind w:firstLine="480"/>
        <w:jc w:val="both"/>
        <w:rPr>
          <w:rFonts w:ascii="宋体" w:hAnsi="宋体"/>
        </w:rPr>
      </w:pPr>
      <w:r>
        <w:rPr>
          <w:rFonts w:hint="eastAsia" w:ascii="宋体" w:hAnsi="宋体"/>
        </w:rPr>
        <w:t>3.本协议“</w:t>
      </w:r>
      <w:r>
        <w:rPr>
          <w:rFonts w:hint="eastAsia" w:ascii="宋体" w:hAnsi="宋体"/>
          <w:color w:val="FF0000"/>
        </w:rPr>
        <w:t>乙</w:t>
      </w:r>
      <w:r>
        <w:rPr>
          <w:rFonts w:hint="eastAsia" w:ascii="宋体" w:hAnsi="宋体"/>
          <w:color w:val="C00000"/>
          <w:lang w:eastAsia="zh-CN"/>
        </w:rPr>
        <w:t>、</w:t>
      </w:r>
      <w:r>
        <w:rPr>
          <w:rFonts w:hint="eastAsia" w:ascii="宋体" w:hAnsi="宋体"/>
          <w:color w:val="C00000"/>
        </w:rPr>
        <w:t>丙</w:t>
      </w:r>
      <w:r>
        <w:rPr>
          <w:rFonts w:hint="eastAsia" w:ascii="宋体" w:hAnsi="宋体"/>
          <w:color w:val="C00000"/>
          <w:lang w:eastAsia="zh-CN"/>
        </w:rPr>
        <w:t>、</w:t>
      </w:r>
      <w:r>
        <w:rPr>
          <w:rFonts w:hint="eastAsia" w:ascii="宋体" w:hAnsi="宋体"/>
          <w:color w:val="C00000"/>
          <w:lang w:val="en-US" w:eastAsia="zh-CN"/>
        </w:rPr>
        <w:t>丁</w:t>
      </w:r>
      <w:r>
        <w:rPr>
          <w:rFonts w:hint="eastAsia" w:ascii="宋体" w:hAnsi="宋体"/>
        </w:rPr>
        <w:t>方”系</w:t>
      </w:r>
      <w:r>
        <w:rPr>
          <w:rFonts w:hint="eastAsia" w:ascii="宋体" w:hAnsi="宋体"/>
          <w:color w:val="C00000"/>
          <w:lang w:val="en-US" w:eastAsia="zh-CN"/>
        </w:rPr>
        <w:t>自然人，欲通过增资扩股方式入股</w:t>
      </w:r>
      <w:r>
        <w:rPr>
          <w:rFonts w:hint="eastAsia" w:ascii="宋体" w:hAnsi="宋体"/>
        </w:rPr>
        <w:t>青海省天翔工程科研检测</w:t>
      </w:r>
      <w:r>
        <w:rPr>
          <w:rFonts w:asciiTheme="minorEastAsia" w:hAnsiTheme="minorEastAsia" w:eastAsiaTheme="minorEastAsia"/>
        </w:rPr>
        <w:t>有限公司</w:t>
      </w:r>
      <w:r>
        <w:rPr>
          <w:rFonts w:hint="eastAsia" w:asciiTheme="minorEastAsia" w:hAnsiTheme="minorEastAsia" w:eastAsiaTheme="minorEastAsia"/>
          <w:lang w:eastAsia="zh-CN"/>
        </w:rPr>
        <w:t>，</w:t>
      </w:r>
      <w:r>
        <w:rPr>
          <w:rFonts w:hint="eastAsia" w:ascii="宋体" w:hAnsi="宋体"/>
        </w:rPr>
        <w:t>甲、乙、丙</w:t>
      </w:r>
      <w:r>
        <w:rPr>
          <w:rFonts w:hint="eastAsia" w:ascii="宋体" w:hAnsi="宋体"/>
          <w:lang w:eastAsia="zh-CN"/>
        </w:rPr>
        <w:t>、</w:t>
      </w:r>
      <w:r>
        <w:rPr>
          <w:rFonts w:hint="eastAsia" w:ascii="宋体" w:hAnsi="宋体"/>
          <w:lang w:val="en-US" w:eastAsia="zh-CN"/>
        </w:rPr>
        <w:t>丁四方协商，同意</w:t>
      </w:r>
      <w:r>
        <w:rPr>
          <w:rFonts w:hint="eastAsia" w:asciiTheme="minorEastAsia" w:hAnsiTheme="minorEastAsia" w:eastAsiaTheme="minorEastAsia"/>
          <w:lang w:val="en-US" w:eastAsia="zh-CN"/>
        </w:rPr>
        <w:t>按照实际出资比例进行。</w:t>
      </w:r>
    </w:p>
    <w:p>
      <w:pPr>
        <w:pStyle w:val="8"/>
        <w:tabs>
          <w:tab w:val="left" w:pos="10980"/>
        </w:tabs>
        <w:snapToGrid w:val="0"/>
        <w:spacing w:before="156" w:beforeLines="50" w:beforeAutospacing="0" w:after="0" w:afterAutospacing="0" w:line="360" w:lineRule="auto"/>
        <w:ind w:firstLine="482"/>
        <w:jc w:val="both"/>
        <w:rPr>
          <w:rFonts w:hint="eastAsia" w:asciiTheme="minorEastAsia" w:hAnsiTheme="minorEastAsia" w:eastAsiaTheme="minorEastAsia"/>
          <w:lang w:val="en-US" w:eastAsia="zh-CN"/>
        </w:rPr>
      </w:pPr>
      <w:r>
        <w:rPr>
          <w:rFonts w:hint="eastAsia" w:ascii="宋体" w:hAnsi="宋体"/>
        </w:rPr>
        <w:t>4.根据甲、乙、丙</w:t>
      </w:r>
      <w:r>
        <w:rPr>
          <w:rFonts w:hint="eastAsia" w:ascii="宋体" w:hAnsi="宋体"/>
          <w:lang w:eastAsia="zh-CN"/>
        </w:rPr>
        <w:t>、</w:t>
      </w:r>
      <w:r>
        <w:rPr>
          <w:rFonts w:hint="eastAsia" w:ascii="宋体" w:hAnsi="宋体"/>
          <w:lang w:val="en-US" w:eastAsia="zh-CN"/>
        </w:rPr>
        <w:t>丁四方</w:t>
      </w:r>
      <w:r>
        <w:rPr>
          <w:rFonts w:hint="eastAsia" w:ascii="宋体" w:hAnsi="宋体"/>
        </w:rPr>
        <w:t>初步协商，目标公司拟新增</w:t>
      </w:r>
      <w:r>
        <w:rPr>
          <w:rFonts w:hint="eastAsia" w:ascii="宋体" w:hAnsi="宋体"/>
          <w:lang w:val="en-US" w:eastAsia="zh-CN"/>
        </w:rPr>
        <w:t>注册</w:t>
      </w:r>
      <w:r>
        <w:rPr>
          <w:rFonts w:hint="eastAsia" w:ascii="宋体" w:hAnsi="宋体"/>
        </w:rPr>
        <w:t>资本共计</w:t>
      </w:r>
      <w:r>
        <w:rPr>
          <w:rFonts w:hint="eastAsia" w:ascii="宋体" w:hAnsi="宋体"/>
          <w:color w:val="C00000"/>
          <w:lang w:val="en-US" w:eastAsia="zh-CN"/>
        </w:rPr>
        <w:t>400</w:t>
      </w:r>
      <w:r>
        <w:rPr>
          <w:rFonts w:hint="eastAsia" w:ascii="宋体" w:hAnsi="宋体"/>
        </w:rPr>
        <w:t>万元，新增</w:t>
      </w:r>
      <w:r>
        <w:rPr>
          <w:rFonts w:hint="eastAsia" w:ascii="宋体" w:hAnsi="宋体"/>
          <w:lang w:val="en-US" w:eastAsia="zh-CN"/>
        </w:rPr>
        <w:t>注册</w:t>
      </w:r>
      <w:r>
        <w:rPr>
          <w:rFonts w:hint="eastAsia" w:ascii="宋体" w:hAnsi="宋体"/>
        </w:rPr>
        <w:t>资本全部由</w:t>
      </w:r>
      <w:r>
        <w:rPr>
          <w:rFonts w:hint="eastAsia" w:ascii="宋体" w:hAnsi="宋体"/>
          <w:lang w:val="en-US" w:eastAsia="zh-CN"/>
        </w:rPr>
        <w:t>乙、丙、丁</w:t>
      </w:r>
      <w:r>
        <w:rPr>
          <w:rFonts w:hint="eastAsia" w:ascii="宋体" w:hAnsi="宋体"/>
        </w:rPr>
        <w:t>方认购。</w:t>
      </w:r>
      <w:r>
        <w:rPr>
          <w:rFonts w:hint="eastAsia" w:asciiTheme="minorEastAsia" w:hAnsiTheme="minorEastAsia" w:eastAsiaTheme="minorEastAsia"/>
          <w:lang w:val="en-US" w:eastAsia="zh-CN"/>
        </w:rPr>
        <w:t>增资后各方占股比例为</w:t>
      </w:r>
      <w:r>
        <w:rPr>
          <w:rFonts w:hint="eastAsia" w:asciiTheme="minorEastAsia" w:hAnsiTheme="minorEastAsia" w:eastAsiaTheme="minorEastAsia"/>
          <w:color w:val="C00000"/>
          <w:lang w:val="en-US" w:eastAsia="zh-CN"/>
        </w:rPr>
        <w:t>31.034%、28.966%、25%和15%。</w:t>
      </w:r>
      <w:r>
        <w:rPr>
          <w:rFonts w:hint="eastAsia" w:asciiTheme="minorEastAsia" w:hAnsiTheme="minorEastAsia" w:eastAsiaTheme="minorEastAsia"/>
          <w:lang w:val="en-US" w:eastAsia="zh-CN"/>
        </w:rPr>
        <w:t>甲方为第一大股东。</w:t>
      </w:r>
    </w:p>
    <w:p>
      <w:pPr>
        <w:pStyle w:val="8"/>
        <w:tabs>
          <w:tab w:val="left" w:pos="10980"/>
        </w:tabs>
        <w:snapToGrid w:val="0"/>
        <w:spacing w:before="156" w:beforeLines="50" w:beforeAutospacing="0" w:after="0" w:afterAutospacing="0" w:line="360" w:lineRule="auto"/>
        <w:ind w:firstLine="482"/>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5、</w:t>
      </w:r>
      <w:r>
        <w:rPr>
          <w:rFonts w:hint="eastAsia" w:asciiTheme="minorEastAsia" w:hAnsiTheme="minorEastAsia" w:eastAsiaTheme="minorEastAsia"/>
          <w:color w:val="C00000"/>
          <w:lang w:val="en-US" w:eastAsia="zh-CN"/>
        </w:rPr>
        <w:t>本次增资扩股，在青海省产权交易市场公开进行，增资额为400万元，必须为货币出资，股权结构按照31.034%、28.966%、25%和15%设置。目标公司经营场地、房屋，甲方以租赁方式租赁给目标公司使用（见本协议其它条款）。</w:t>
      </w:r>
      <w:r>
        <w:rPr>
          <w:rFonts w:hint="eastAsia" w:asciiTheme="minorEastAsia" w:hAnsiTheme="minorEastAsia" w:eastAsiaTheme="minorEastAsia" w:cstheme="minorEastAsia"/>
          <w:color w:val="C00000"/>
          <w:sz w:val="24"/>
          <w:szCs w:val="24"/>
          <w:lang w:val="en-US" w:eastAsia="zh-CN"/>
        </w:rPr>
        <w:t>股权最终以甲方与乙、丙、丁方签订了</w:t>
      </w:r>
      <w:r>
        <w:rPr>
          <w:rFonts w:hint="eastAsia" w:asciiTheme="minorEastAsia" w:hAnsiTheme="minorEastAsia" w:eastAsiaTheme="minorEastAsia" w:cstheme="minorEastAsia"/>
          <w:color w:val="C00000"/>
          <w:sz w:val="24"/>
          <w:szCs w:val="24"/>
        </w:rPr>
        <w:t>《产权交易合同》</w:t>
      </w:r>
      <w:r>
        <w:rPr>
          <w:rFonts w:hint="eastAsia" w:asciiTheme="minorEastAsia" w:hAnsiTheme="minorEastAsia" w:eastAsiaTheme="minorEastAsia" w:cstheme="minorEastAsia"/>
          <w:color w:val="C00000"/>
          <w:sz w:val="24"/>
          <w:szCs w:val="24"/>
          <w:lang w:val="en-US" w:eastAsia="zh-CN"/>
        </w:rPr>
        <w:t>为准。若未能按甲方设置的股权结构全部摘牌，本次增资扩股终止。</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基于上述，本协议各方经充分协商，根据《中华人民共和国公司法》及其他有关法律、法规及规范性文件的规定，本着平等互利、诚实信用的原则，就</w:t>
      </w:r>
      <w:r>
        <w:rPr>
          <w:rFonts w:hint="eastAsia" w:ascii="宋体" w:hAnsi="宋体"/>
          <w:lang w:val="en-US" w:eastAsia="zh-CN"/>
        </w:rPr>
        <w:t>乙、丙、丁</w:t>
      </w:r>
      <w:r>
        <w:rPr>
          <w:rFonts w:hint="eastAsia" w:ascii="宋体" w:hAnsi="宋体"/>
        </w:rPr>
        <w:t>方认缴目标公司新增注册资本事宜，达成如下协议，以资共同遵守。</w:t>
      </w:r>
    </w:p>
    <w:p>
      <w:pPr>
        <w:pStyle w:val="8"/>
        <w:tabs>
          <w:tab w:val="left" w:pos="10980"/>
        </w:tabs>
        <w:snapToGrid w:val="0"/>
        <w:spacing w:before="156" w:beforeLines="50" w:beforeAutospacing="0" w:after="0" w:afterAutospacing="0" w:line="360" w:lineRule="auto"/>
        <w:ind w:left="420" w:leftChars="200"/>
        <w:jc w:val="both"/>
        <w:rPr>
          <w:rFonts w:ascii="宋体" w:hAnsi="宋体"/>
        </w:rPr>
      </w:pPr>
      <w:r>
        <w:rPr>
          <w:rFonts w:hint="eastAsia" w:ascii="宋体" w:hAnsi="宋体"/>
          <w:b/>
        </w:rPr>
        <w:t>第一条  定义</w:t>
      </w:r>
    </w:p>
    <w:p>
      <w:pPr>
        <w:pStyle w:val="8"/>
        <w:tabs>
          <w:tab w:val="left" w:pos="10980"/>
        </w:tabs>
        <w:snapToGrid w:val="0"/>
        <w:spacing w:before="156" w:beforeLines="50" w:beforeAutospacing="0" w:after="0" w:afterAutospacing="0" w:line="360" w:lineRule="auto"/>
        <w:ind w:left="420" w:leftChars="200"/>
        <w:jc w:val="both"/>
        <w:rPr>
          <w:rFonts w:ascii="宋体" w:hAnsi="宋体"/>
        </w:rPr>
      </w:pPr>
      <w:r>
        <w:rPr>
          <w:rFonts w:hint="eastAsia" w:ascii="宋体" w:hAnsi="宋体"/>
        </w:rPr>
        <w:t>除本协议及附件另有规定外，下列词语的含义是指：</w:t>
      </w:r>
    </w:p>
    <w:p>
      <w:pPr>
        <w:spacing w:before="156" w:beforeLines="50" w:line="360" w:lineRule="auto"/>
        <w:ind w:firstLine="480" w:firstLineChars="200"/>
        <w:rPr>
          <w:rFonts w:ascii="宋体" w:hAnsi="宋体"/>
          <w:sz w:val="24"/>
        </w:rPr>
      </w:pPr>
      <w:r>
        <w:rPr>
          <w:rFonts w:hint="eastAsia" w:ascii="宋体" w:hAnsi="宋体"/>
          <w:sz w:val="24"/>
        </w:rPr>
        <w:t>1.1“增资”：是对本协议项下目标公司新增注册资本的简称；</w:t>
      </w:r>
    </w:p>
    <w:p>
      <w:pPr>
        <w:spacing w:before="156" w:beforeLines="50" w:line="360" w:lineRule="auto"/>
        <w:ind w:firstLine="480" w:firstLineChars="200"/>
        <w:rPr>
          <w:rFonts w:ascii="宋体" w:hAnsi="宋体"/>
          <w:sz w:val="24"/>
        </w:rPr>
      </w:pPr>
      <w:r>
        <w:rPr>
          <w:rFonts w:hint="eastAsia" w:ascii="宋体" w:hAnsi="宋体"/>
          <w:sz w:val="24"/>
        </w:rPr>
        <w:t>1.2“认缴价款”：指甲方依本协议之约定认缴目标公司新增注册资本应当支付的价款；</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1.3 “股权交割”：是指目标公司增资后，办理股权工商变更登记；</w:t>
      </w:r>
    </w:p>
    <w:p>
      <w:pPr>
        <w:spacing w:before="156" w:beforeLines="50" w:line="360" w:lineRule="auto"/>
        <w:ind w:firstLine="480" w:firstLineChars="200"/>
        <w:rPr>
          <w:rFonts w:ascii="宋体" w:hAnsi="宋体"/>
          <w:sz w:val="24"/>
        </w:rPr>
      </w:pPr>
      <w:r>
        <w:rPr>
          <w:rFonts w:hint="eastAsia" w:ascii="宋体" w:hAnsi="宋体"/>
          <w:sz w:val="24"/>
        </w:rPr>
        <w:t>1.4“元”：除非有特别说明，指人民币；</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color w:val="FF0000"/>
        </w:rPr>
      </w:pPr>
      <w:r>
        <w:rPr>
          <w:rFonts w:hint="eastAsia" w:ascii="宋体" w:hAnsi="宋体"/>
          <w:color w:val="FF0000"/>
        </w:rPr>
        <w:t>1.5“基准日”：是指为了本协议项下增资的需要，甲、乙双方委托具有相应资质的中介机构对目标公司开展财务审计、评估的基准日期；</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第二条  目标公司基本情况</w:t>
      </w:r>
    </w:p>
    <w:p>
      <w:pPr>
        <w:pStyle w:val="17"/>
        <w:autoSpaceDN w:val="0"/>
        <w:spacing w:before="156" w:beforeLines="50" w:line="360" w:lineRule="auto"/>
        <w:ind w:firstLine="480" w:firstLineChars="200"/>
        <w:rPr>
          <w:rFonts w:ascii="宋体" w:hAnsi="宋体"/>
          <w:bCs/>
          <w:sz w:val="24"/>
          <w:szCs w:val="24"/>
        </w:rPr>
      </w:pPr>
      <w:r>
        <w:rPr>
          <w:rFonts w:hint="eastAsia" w:ascii="宋体" w:hAnsi="宋体"/>
          <w:bCs/>
          <w:sz w:val="24"/>
          <w:szCs w:val="24"/>
        </w:rPr>
        <w:t>2.1 基本情况</w:t>
      </w:r>
    </w:p>
    <w:p>
      <w:pPr>
        <w:pStyle w:val="17"/>
        <w:autoSpaceDN w:val="0"/>
        <w:spacing w:before="156" w:beforeLines="50" w:line="360" w:lineRule="auto"/>
        <w:ind w:firstLine="480" w:firstLineChars="200"/>
        <w:rPr>
          <w:rFonts w:asciiTheme="minorEastAsia" w:hAnsiTheme="minorEastAsia" w:eastAsiaTheme="minorEastAsia"/>
          <w:sz w:val="24"/>
          <w:szCs w:val="24"/>
        </w:rPr>
      </w:pPr>
      <w:r>
        <w:rPr>
          <w:rFonts w:hint="eastAsia" w:ascii="宋体" w:hAnsi="宋体"/>
          <w:sz w:val="24"/>
          <w:szCs w:val="24"/>
        </w:rPr>
        <w:t>2.1.1 目标</w:t>
      </w:r>
      <w:r>
        <w:rPr>
          <w:rFonts w:hint="eastAsia" w:asciiTheme="minorEastAsia" w:hAnsiTheme="minorEastAsia" w:eastAsiaTheme="minorEastAsia"/>
          <w:sz w:val="24"/>
          <w:szCs w:val="24"/>
        </w:rPr>
        <w:t>公司住所地位于</w:t>
      </w:r>
      <w:r>
        <w:rPr>
          <w:rFonts w:hint="eastAsia" w:asciiTheme="minorEastAsia" w:hAnsiTheme="minorEastAsia" w:eastAsiaTheme="minorEastAsia"/>
          <w:color w:val="131313"/>
          <w:sz w:val="24"/>
          <w:szCs w:val="24"/>
          <w:shd w:val="clear" w:color="auto" w:fill="FFFFFF"/>
        </w:rPr>
        <w:t>西宁市城北区朝阳西路17号</w:t>
      </w:r>
      <w:r>
        <w:rPr>
          <w:rFonts w:hint="eastAsia" w:asciiTheme="minorEastAsia" w:hAnsiTheme="minorEastAsia" w:eastAsiaTheme="minorEastAsia"/>
          <w:sz w:val="24"/>
          <w:szCs w:val="24"/>
        </w:rPr>
        <w:t>，注册资本为</w:t>
      </w:r>
      <w:r>
        <w:rPr>
          <w:rFonts w:hint="eastAsia" w:asciiTheme="minorEastAsia" w:hAnsiTheme="minorEastAsia" w:eastAsiaTheme="minorEastAsia"/>
          <w:color w:val="C00000"/>
          <w:sz w:val="24"/>
          <w:szCs w:val="24"/>
          <w:lang w:val="en-US" w:eastAsia="zh-CN"/>
        </w:rPr>
        <w:t>5000</w:t>
      </w:r>
      <w:r>
        <w:rPr>
          <w:rFonts w:hint="eastAsia" w:asciiTheme="minorEastAsia" w:hAnsiTheme="minorEastAsia" w:eastAsiaTheme="minorEastAsia"/>
          <w:sz w:val="24"/>
          <w:szCs w:val="24"/>
        </w:rPr>
        <w:t>万元，实收资本为</w:t>
      </w:r>
      <w:r>
        <w:rPr>
          <w:rFonts w:hint="eastAsia" w:asciiTheme="minorEastAsia" w:hAnsiTheme="minorEastAsia" w:eastAsiaTheme="minorEastAsia"/>
          <w:color w:val="C00000"/>
          <w:sz w:val="24"/>
          <w:szCs w:val="24"/>
        </w:rPr>
        <w:t>180</w:t>
      </w:r>
      <w:r>
        <w:rPr>
          <w:rFonts w:hint="eastAsia" w:asciiTheme="minorEastAsia" w:hAnsiTheme="minorEastAsia" w:eastAsiaTheme="minorEastAsia"/>
          <w:sz w:val="24"/>
          <w:szCs w:val="24"/>
        </w:rPr>
        <w:t>万元。</w:t>
      </w:r>
    </w:p>
    <w:p>
      <w:pPr>
        <w:spacing w:before="156" w:beforeLines="50" w:line="360" w:lineRule="auto"/>
        <w:ind w:firstLine="480" w:firstLineChars="200"/>
        <w:rPr>
          <w:rFonts w:asciiTheme="minorEastAsia" w:hAnsiTheme="minorEastAsia" w:eastAsiaTheme="minorEastAsia"/>
          <w:color w:val="C00000"/>
          <w:sz w:val="24"/>
        </w:rPr>
      </w:pPr>
      <w:r>
        <w:rPr>
          <w:rFonts w:hint="eastAsia" w:ascii="宋体" w:hAnsi="宋体"/>
          <w:sz w:val="24"/>
        </w:rPr>
        <w:t>2.1.2 目标公司经营</w:t>
      </w:r>
      <w:r>
        <w:rPr>
          <w:rFonts w:hint="eastAsia" w:asciiTheme="minorEastAsia" w:hAnsiTheme="minorEastAsia" w:eastAsiaTheme="minorEastAsia"/>
          <w:sz w:val="24"/>
        </w:rPr>
        <w:t>范围：</w:t>
      </w:r>
      <w:r>
        <w:rPr>
          <w:rFonts w:hint="eastAsia" w:ascii="微软雅黑" w:hAnsi="微软雅黑" w:eastAsia="微软雅黑"/>
          <w:color w:val="000000" w:themeColor="text1"/>
        </w:rPr>
        <w:t>公路、水运、市政道路工程试验检测技术研究、开发与技术咨询服务;公路、水运、铁路、建筑、木工工程、交安机电工程原材料试验检测:工程质量检测评价和现场环境监测;公路、水运、土木工程技术状况检测评价和安全监测的评估;仪器、设备租赁;水泥混凝土外加剂、销售；建筑材料、实验仪器的销售（涉及许可经营项目，相关部门许可后方可经营）</w:t>
      </w:r>
    </w:p>
    <w:p>
      <w:pPr>
        <w:pStyle w:val="17"/>
        <w:autoSpaceDN w:val="0"/>
        <w:spacing w:before="156" w:before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 截止</w:t>
      </w:r>
      <w:r>
        <w:rPr>
          <w:rFonts w:hint="eastAsia" w:asciiTheme="minorEastAsia" w:hAnsiTheme="minorEastAsia" w:eastAsiaTheme="minorEastAsia"/>
          <w:sz w:val="24"/>
          <w:szCs w:val="24"/>
          <w:lang w:val="en-US" w:eastAsia="zh-CN"/>
        </w:rPr>
        <w:t>2020年12月31</w:t>
      </w:r>
      <w:r>
        <w:rPr>
          <w:rFonts w:hint="eastAsia" w:asciiTheme="minorEastAsia" w:hAnsiTheme="minorEastAsia" w:eastAsiaTheme="minorEastAsia"/>
          <w:sz w:val="24"/>
          <w:szCs w:val="24"/>
        </w:rPr>
        <w:t>日，目标公司主要资产负债情况如下：</w:t>
      </w:r>
    </w:p>
    <w:tbl>
      <w:tblPr>
        <w:tblStyle w:val="10"/>
        <w:tblW w:w="8222" w:type="dxa"/>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4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Borders>
              <w:top w:val="single" w:color="auto" w:sz="12" w:space="0"/>
            </w:tcBorders>
          </w:tcPr>
          <w:p>
            <w:pPr>
              <w:spacing w:before="156" w:beforeLines="50" w:line="360" w:lineRule="auto"/>
              <w:jc w:val="center"/>
              <w:rPr>
                <w:b/>
                <w:szCs w:val="21"/>
              </w:rPr>
            </w:pPr>
            <w:r>
              <w:rPr>
                <w:rFonts w:hint="eastAsia"/>
                <w:b/>
                <w:szCs w:val="21"/>
              </w:rPr>
              <w:t>项目</w:t>
            </w:r>
          </w:p>
        </w:tc>
        <w:tc>
          <w:tcPr>
            <w:tcW w:w="4111" w:type="dxa"/>
            <w:tcBorders>
              <w:top w:val="single" w:color="auto" w:sz="12" w:space="0"/>
            </w:tcBorders>
          </w:tcPr>
          <w:p>
            <w:pPr>
              <w:spacing w:before="156" w:beforeLines="50" w:line="360" w:lineRule="auto"/>
              <w:jc w:val="center"/>
              <w:rPr>
                <w:b/>
                <w:szCs w:val="21"/>
              </w:rPr>
            </w:pPr>
            <w:r>
              <w:rPr>
                <w:rFonts w:hint="eastAsia"/>
                <w:b/>
                <w:szCs w:val="21"/>
              </w:rPr>
              <w:t>20</w:t>
            </w:r>
            <w:r>
              <w:rPr>
                <w:rFonts w:hint="eastAsia"/>
                <w:b/>
                <w:szCs w:val="21"/>
                <w:lang w:val="en-US" w:eastAsia="zh-CN"/>
              </w:rPr>
              <w:t>20</w:t>
            </w:r>
            <w:r>
              <w:rPr>
                <w:rFonts w:hint="eastAsia"/>
                <w:b/>
                <w:szCs w:val="21"/>
              </w:rPr>
              <w:t>年12月31日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Pr>
          <w:p>
            <w:pPr>
              <w:spacing w:before="156" w:beforeLines="50" w:line="360" w:lineRule="auto"/>
              <w:jc w:val="center"/>
              <w:rPr>
                <w:b/>
                <w:szCs w:val="21"/>
              </w:rPr>
            </w:pPr>
            <w:r>
              <w:rPr>
                <w:rFonts w:hint="eastAsia"/>
                <w:b/>
                <w:szCs w:val="21"/>
              </w:rPr>
              <w:t>资产总计</w:t>
            </w:r>
          </w:p>
        </w:tc>
        <w:tc>
          <w:tcPr>
            <w:tcW w:w="4111" w:type="dxa"/>
          </w:tcPr>
          <w:p>
            <w:pPr>
              <w:spacing w:before="50" w:line="360" w:lineRule="auto"/>
              <w:rPr>
                <w:rFonts w:hint="eastAsia" w:eastAsia="宋体"/>
                <w:szCs w:val="21"/>
                <w:lang w:val="en-US" w:eastAsia="zh-CN"/>
              </w:rPr>
            </w:pPr>
            <w:r>
              <w:rPr>
                <w:rFonts w:hint="eastAsia"/>
                <w:szCs w:val="21"/>
                <w:lang w:val="en-US" w:eastAsia="zh-CN"/>
              </w:rPr>
              <w:t>14.176.492.46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Pr>
          <w:p>
            <w:pPr>
              <w:spacing w:before="156" w:beforeLines="50" w:line="360" w:lineRule="auto"/>
              <w:jc w:val="center"/>
              <w:rPr>
                <w:szCs w:val="21"/>
              </w:rPr>
            </w:pPr>
            <w:r>
              <w:rPr>
                <w:rFonts w:hint="eastAsia"/>
                <w:szCs w:val="21"/>
              </w:rPr>
              <w:t>流动资产合计</w:t>
            </w:r>
          </w:p>
        </w:tc>
        <w:tc>
          <w:tcPr>
            <w:tcW w:w="4111" w:type="dxa"/>
          </w:tcPr>
          <w:p>
            <w:pPr>
              <w:spacing w:before="50" w:line="360" w:lineRule="auto"/>
              <w:rPr>
                <w:rFonts w:hint="eastAsia" w:eastAsia="宋体"/>
                <w:szCs w:val="21"/>
                <w:lang w:val="en-US" w:eastAsia="zh-CN"/>
              </w:rPr>
            </w:pPr>
            <w:r>
              <w:rPr>
                <w:rFonts w:hint="eastAsia"/>
                <w:szCs w:val="21"/>
                <w:lang w:val="en-US" w:eastAsia="zh-CN"/>
              </w:rPr>
              <w:t>12.367.122.85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Pr>
          <w:p>
            <w:pPr>
              <w:spacing w:before="156" w:beforeLines="50" w:line="360" w:lineRule="auto"/>
              <w:jc w:val="center"/>
              <w:rPr>
                <w:szCs w:val="21"/>
              </w:rPr>
            </w:pPr>
            <w:r>
              <w:rPr>
                <w:rFonts w:hint="eastAsia"/>
                <w:szCs w:val="21"/>
              </w:rPr>
              <w:t>非流动资产合计</w:t>
            </w:r>
          </w:p>
        </w:tc>
        <w:tc>
          <w:tcPr>
            <w:tcW w:w="4111" w:type="dxa"/>
          </w:tcPr>
          <w:p>
            <w:pPr>
              <w:spacing w:before="50" w:line="360" w:lineRule="auto"/>
              <w:jc w:val="left"/>
              <w:rPr>
                <w:rFonts w:hint="eastAsia" w:eastAsia="宋体"/>
                <w:szCs w:val="21"/>
                <w:lang w:val="en-US" w:eastAsia="zh-CN"/>
              </w:rPr>
            </w:pPr>
            <w:r>
              <w:rPr>
                <w:rFonts w:hint="eastAsia"/>
                <w:szCs w:val="21"/>
                <w:lang w:val="en-US" w:eastAsia="zh-CN"/>
              </w:rPr>
              <w:t>1.809.369.61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Pr>
          <w:p>
            <w:pPr>
              <w:spacing w:before="156" w:beforeLines="50" w:line="360" w:lineRule="auto"/>
              <w:jc w:val="center"/>
              <w:rPr>
                <w:b/>
                <w:szCs w:val="21"/>
              </w:rPr>
            </w:pPr>
            <w:r>
              <w:rPr>
                <w:rFonts w:hint="eastAsia"/>
                <w:b/>
                <w:szCs w:val="21"/>
              </w:rPr>
              <w:t>负债合计</w:t>
            </w:r>
          </w:p>
        </w:tc>
        <w:tc>
          <w:tcPr>
            <w:tcW w:w="4111" w:type="dxa"/>
          </w:tcPr>
          <w:p>
            <w:pPr>
              <w:spacing w:before="50" w:line="360" w:lineRule="auto"/>
              <w:rPr>
                <w:szCs w:val="21"/>
              </w:rPr>
            </w:pPr>
            <w:r>
              <w:rPr>
                <w:rFonts w:hint="eastAsia"/>
                <w:szCs w:val="21"/>
                <w:lang w:val="en-US" w:eastAsia="zh-CN"/>
              </w:rPr>
              <w:t>6.231.215.67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Pr>
          <w:p>
            <w:pPr>
              <w:spacing w:before="156" w:beforeLines="50" w:line="360" w:lineRule="auto"/>
              <w:jc w:val="center"/>
              <w:rPr>
                <w:szCs w:val="21"/>
              </w:rPr>
            </w:pPr>
            <w:r>
              <w:rPr>
                <w:rFonts w:hint="eastAsia"/>
                <w:szCs w:val="21"/>
              </w:rPr>
              <w:t>流动负债合计</w:t>
            </w:r>
          </w:p>
        </w:tc>
        <w:tc>
          <w:tcPr>
            <w:tcW w:w="4111" w:type="dxa"/>
          </w:tcPr>
          <w:p>
            <w:pPr>
              <w:spacing w:before="50" w:line="360" w:lineRule="auto"/>
              <w:rPr>
                <w:rFonts w:hint="eastAsia" w:eastAsia="宋体"/>
                <w:szCs w:val="21"/>
                <w:lang w:val="en-US" w:eastAsia="zh-CN"/>
              </w:rPr>
            </w:pPr>
            <w:r>
              <w:rPr>
                <w:rFonts w:hint="eastAsia"/>
                <w:szCs w:val="21"/>
                <w:lang w:val="en-US" w:eastAsia="zh-CN"/>
              </w:rPr>
              <w:t>6.231.215.67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Pr>
          <w:p>
            <w:pPr>
              <w:spacing w:before="156" w:beforeLines="50" w:line="360" w:lineRule="auto"/>
              <w:jc w:val="center"/>
              <w:rPr>
                <w:szCs w:val="21"/>
              </w:rPr>
            </w:pPr>
            <w:r>
              <w:rPr>
                <w:rFonts w:hint="eastAsia"/>
                <w:szCs w:val="21"/>
              </w:rPr>
              <w:t>非流动负债合计</w:t>
            </w:r>
          </w:p>
        </w:tc>
        <w:tc>
          <w:tcPr>
            <w:tcW w:w="4111" w:type="dxa"/>
          </w:tcPr>
          <w:p>
            <w:pPr>
              <w:spacing w:before="50" w:line="360" w:lineRule="auto"/>
              <w:rPr>
                <w:rFonts w:hint="eastAsia" w:eastAsia="宋体"/>
                <w:szCs w:val="21"/>
                <w:lang w:val="en-US"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11" w:type="dxa"/>
            <w:tcBorders>
              <w:bottom w:val="single" w:color="auto" w:sz="12" w:space="0"/>
            </w:tcBorders>
          </w:tcPr>
          <w:p>
            <w:pPr>
              <w:spacing w:before="156" w:beforeLines="50" w:line="360" w:lineRule="auto"/>
              <w:jc w:val="center"/>
              <w:rPr>
                <w:b/>
                <w:szCs w:val="21"/>
              </w:rPr>
            </w:pPr>
            <w:r>
              <w:rPr>
                <w:rFonts w:hint="eastAsia"/>
                <w:b/>
                <w:szCs w:val="21"/>
              </w:rPr>
              <w:t>所有者权益总计</w:t>
            </w:r>
          </w:p>
        </w:tc>
        <w:tc>
          <w:tcPr>
            <w:tcW w:w="4111" w:type="dxa"/>
            <w:tcBorders>
              <w:bottom w:val="single" w:color="auto" w:sz="12" w:space="0"/>
            </w:tcBorders>
          </w:tcPr>
          <w:p>
            <w:pPr>
              <w:spacing w:before="50" w:line="360" w:lineRule="auto"/>
              <w:rPr>
                <w:szCs w:val="21"/>
              </w:rPr>
            </w:pPr>
            <w:r>
              <w:rPr>
                <w:rFonts w:hint="eastAsia"/>
                <w:szCs w:val="21"/>
                <w:lang w:val="en-US" w:eastAsia="zh-CN"/>
              </w:rPr>
              <w:t>7.945.276.79</w:t>
            </w:r>
          </w:p>
        </w:tc>
      </w:tr>
    </w:tbl>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第三条  增资及增资总额</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color w:val="C00000"/>
        </w:rPr>
      </w:pPr>
      <w:r>
        <w:rPr>
          <w:rFonts w:hint="eastAsia" w:ascii="宋体" w:hAnsi="宋体"/>
          <w:color w:val="FF0000"/>
        </w:rPr>
        <w:t>3.1 目标公司新增注册资本</w:t>
      </w:r>
      <w:r>
        <w:rPr>
          <w:rFonts w:hint="eastAsia" w:ascii="宋体" w:hAnsi="宋体"/>
          <w:color w:val="FF0000"/>
          <w:lang w:val="en-US" w:eastAsia="zh-CN"/>
        </w:rPr>
        <w:t>400</w:t>
      </w:r>
      <w:r>
        <w:rPr>
          <w:rFonts w:hint="eastAsia" w:ascii="宋体" w:hAnsi="宋体"/>
          <w:color w:val="FF0000"/>
        </w:rPr>
        <w:t>万元,增资完成后，目标公司注册资本将由180万元增至</w:t>
      </w:r>
      <w:r>
        <w:rPr>
          <w:rFonts w:hint="eastAsia" w:ascii="宋体" w:hAnsi="宋体"/>
          <w:color w:val="FF0000"/>
          <w:lang w:val="en-US" w:eastAsia="zh-CN"/>
        </w:rPr>
        <w:t>580</w:t>
      </w:r>
      <w:r>
        <w:rPr>
          <w:rFonts w:hint="eastAsia" w:ascii="宋体" w:hAnsi="宋体"/>
          <w:color w:val="FF0000"/>
        </w:rPr>
        <w:t>万元。其中：</w:t>
      </w:r>
      <w:r>
        <w:rPr>
          <w:rFonts w:hint="eastAsia" w:ascii="宋体" w:hAnsi="宋体"/>
          <w:color w:val="FF0000"/>
          <w:lang w:val="en-US" w:eastAsia="zh-CN"/>
        </w:rPr>
        <w:t>乙方</w:t>
      </w:r>
      <w:r>
        <w:rPr>
          <w:rFonts w:hint="eastAsia" w:ascii="宋体" w:hAnsi="宋体"/>
          <w:color w:val="C00000"/>
        </w:rPr>
        <w:t>认购</w:t>
      </w:r>
      <w:r>
        <w:rPr>
          <w:rFonts w:hint="eastAsia" w:ascii="宋体" w:hAnsi="宋体"/>
          <w:color w:val="C00000"/>
          <w:lang w:val="en-US" w:eastAsia="zh-CN"/>
        </w:rPr>
        <w:t>168</w:t>
      </w:r>
      <w:r>
        <w:rPr>
          <w:rFonts w:hint="eastAsia" w:ascii="宋体" w:hAnsi="宋体"/>
          <w:color w:val="C00000"/>
        </w:rPr>
        <w:t>万元，</w:t>
      </w:r>
      <w:r>
        <w:rPr>
          <w:rFonts w:hint="eastAsia" w:ascii="宋体" w:hAnsi="宋体"/>
          <w:color w:val="C00000"/>
          <w:lang w:val="en-US" w:eastAsia="zh-CN"/>
        </w:rPr>
        <w:t>丙</w:t>
      </w:r>
      <w:r>
        <w:rPr>
          <w:rFonts w:hint="eastAsia" w:ascii="宋体" w:hAnsi="宋体"/>
          <w:color w:val="C00000"/>
        </w:rPr>
        <w:t>认购</w:t>
      </w:r>
      <w:r>
        <w:rPr>
          <w:rFonts w:hint="eastAsia" w:ascii="宋体" w:hAnsi="宋体"/>
          <w:color w:val="C00000"/>
          <w:lang w:val="en-US" w:eastAsia="zh-CN"/>
        </w:rPr>
        <w:t>145</w:t>
      </w:r>
      <w:r>
        <w:rPr>
          <w:rFonts w:hint="eastAsia" w:ascii="宋体" w:hAnsi="宋体"/>
          <w:color w:val="C00000"/>
        </w:rPr>
        <w:t>万元</w:t>
      </w:r>
      <w:r>
        <w:rPr>
          <w:rFonts w:hint="eastAsia" w:ascii="宋体" w:hAnsi="宋体"/>
          <w:color w:val="C00000"/>
          <w:lang w:eastAsia="zh-CN"/>
        </w:rPr>
        <w:t>，</w:t>
      </w:r>
      <w:r>
        <w:rPr>
          <w:rFonts w:hint="eastAsia" w:ascii="宋体" w:hAnsi="宋体"/>
          <w:color w:val="C00000"/>
          <w:lang w:val="en-US" w:eastAsia="zh-CN"/>
        </w:rPr>
        <w:t>丁方87万元</w:t>
      </w:r>
      <w:r>
        <w:rPr>
          <w:rFonts w:hint="eastAsia" w:ascii="宋体" w:hAnsi="宋体"/>
          <w:color w:val="C00000"/>
          <w:lang w:eastAsia="zh-CN"/>
        </w:rPr>
        <w:t>。</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color w:val="FF0000"/>
        </w:rPr>
      </w:pPr>
      <w:r>
        <w:rPr>
          <w:rFonts w:hint="eastAsia" w:ascii="宋体" w:hAnsi="宋体"/>
          <w:color w:val="FF0000"/>
        </w:rPr>
        <w:t>3.2 目标公司新增注册资本全部由</w:t>
      </w:r>
      <w:r>
        <w:rPr>
          <w:rFonts w:hint="eastAsia" w:ascii="宋体" w:hAnsi="宋体"/>
          <w:color w:val="FF0000"/>
          <w:lang w:val="en-US" w:eastAsia="zh-CN"/>
        </w:rPr>
        <w:t>乙、丙</w:t>
      </w:r>
      <w:r>
        <w:rPr>
          <w:rFonts w:hint="eastAsia" w:ascii="宋体" w:hAnsi="宋体"/>
          <w:color w:val="FF0000"/>
        </w:rPr>
        <w:t>方认缴，</w:t>
      </w:r>
      <w:r>
        <w:rPr>
          <w:rFonts w:hint="eastAsia" w:ascii="宋体" w:hAnsi="宋体"/>
          <w:color w:val="FF0000"/>
          <w:lang w:val="en-US" w:eastAsia="zh-CN"/>
        </w:rPr>
        <w:t>甲</w:t>
      </w:r>
      <w:r>
        <w:rPr>
          <w:rFonts w:hint="eastAsia" w:ascii="宋体" w:hAnsi="宋体"/>
          <w:color w:val="FF0000"/>
        </w:rPr>
        <w:t>方放弃优先认缴权。增资完成后，目标公司股权结构如下：</w:t>
      </w:r>
    </w:p>
    <w:tbl>
      <w:tblPr>
        <w:tblStyle w:val="10"/>
        <w:tblW w:w="8363" w:type="dxa"/>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2409"/>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12" w:space="0"/>
            </w:tcBorders>
          </w:tcPr>
          <w:p>
            <w:pPr>
              <w:spacing w:before="156" w:beforeLines="5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股东名称</w:t>
            </w:r>
          </w:p>
        </w:tc>
        <w:tc>
          <w:tcPr>
            <w:tcW w:w="2127" w:type="dxa"/>
            <w:tcBorders>
              <w:top w:val="single" w:color="auto" w:sz="12" w:space="0"/>
            </w:tcBorders>
          </w:tcPr>
          <w:p>
            <w:pPr>
              <w:spacing w:before="156" w:beforeLines="5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实缴出资额（元）</w:t>
            </w:r>
          </w:p>
        </w:tc>
        <w:tc>
          <w:tcPr>
            <w:tcW w:w="2409" w:type="dxa"/>
            <w:tcBorders>
              <w:top w:val="single" w:color="auto" w:sz="12" w:space="0"/>
            </w:tcBorders>
          </w:tcPr>
          <w:p>
            <w:pPr>
              <w:spacing w:before="156" w:beforeLines="5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占注册资本比例</w:t>
            </w:r>
          </w:p>
        </w:tc>
        <w:tc>
          <w:tcPr>
            <w:tcW w:w="2268" w:type="dxa"/>
            <w:tcBorders>
              <w:top w:val="single" w:color="auto" w:sz="12" w:space="0"/>
            </w:tcBorders>
          </w:tcPr>
          <w:p>
            <w:pPr>
              <w:spacing w:before="156" w:beforeLines="5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出资方式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青海路桥建设股份有限公司</w:t>
            </w:r>
          </w:p>
        </w:tc>
        <w:tc>
          <w:tcPr>
            <w:tcW w:w="2127" w:type="dxa"/>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180</w:t>
            </w:r>
          </w:p>
        </w:tc>
        <w:tc>
          <w:tcPr>
            <w:tcW w:w="2409"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31.034</w:t>
            </w:r>
            <w:r>
              <w:rPr>
                <w:rFonts w:hint="eastAsia" w:asciiTheme="minorEastAsia" w:hAnsiTheme="minorEastAsia" w:eastAsiaTheme="minorEastAsia"/>
                <w:szCs w:val="21"/>
              </w:rPr>
              <w:t>%</w:t>
            </w:r>
          </w:p>
        </w:tc>
        <w:tc>
          <w:tcPr>
            <w:tcW w:w="2268"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乙方</w:t>
            </w:r>
          </w:p>
        </w:tc>
        <w:tc>
          <w:tcPr>
            <w:tcW w:w="2127" w:type="dxa"/>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168</w:t>
            </w:r>
          </w:p>
        </w:tc>
        <w:tc>
          <w:tcPr>
            <w:tcW w:w="2409"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28.966</w:t>
            </w:r>
            <w:r>
              <w:rPr>
                <w:rFonts w:hint="eastAsia" w:asciiTheme="minorEastAsia" w:hAnsiTheme="minorEastAsia" w:eastAsiaTheme="minorEastAsia"/>
                <w:szCs w:val="21"/>
              </w:rPr>
              <w:t>%</w:t>
            </w:r>
          </w:p>
        </w:tc>
        <w:tc>
          <w:tcPr>
            <w:tcW w:w="2268"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丙方</w:t>
            </w:r>
          </w:p>
        </w:tc>
        <w:tc>
          <w:tcPr>
            <w:tcW w:w="2127" w:type="dxa"/>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145</w:t>
            </w:r>
          </w:p>
        </w:tc>
        <w:tc>
          <w:tcPr>
            <w:tcW w:w="2409"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25</w:t>
            </w:r>
            <w:r>
              <w:rPr>
                <w:rFonts w:hint="eastAsia" w:asciiTheme="minorEastAsia" w:hAnsiTheme="minorEastAsia" w:eastAsiaTheme="minorEastAsia"/>
                <w:szCs w:val="21"/>
              </w:rPr>
              <w:t>%</w:t>
            </w:r>
          </w:p>
        </w:tc>
        <w:tc>
          <w:tcPr>
            <w:tcW w:w="2268"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丁方</w:t>
            </w:r>
          </w:p>
        </w:tc>
        <w:tc>
          <w:tcPr>
            <w:tcW w:w="2127" w:type="dxa"/>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87</w:t>
            </w:r>
          </w:p>
        </w:tc>
        <w:tc>
          <w:tcPr>
            <w:tcW w:w="2409"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p>
        </w:tc>
        <w:tc>
          <w:tcPr>
            <w:tcW w:w="2268" w:type="dxa"/>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59" w:type="dxa"/>
            <w:tcBorders>
              <w:bottom w:val="single" w:color="auto" w:sz="12" w:space="0"/>
            </w:tcBorders>
          </w:tcPr>
          <w:p>
            <w:pPr>
              <w:spacing w:before="156" w:beforeLines="5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合计</w:t>
            </w:r>
          </w:p>
        </w:tc>
        <w:tc>
          <w:tcPr>
            <w:tcW w:w="2127" w:type="dxa"/>
            <w:tcBorders>
              <w:bottom w:val="single" w:color="auto" w:sz="12" w:space="0"/>
            </w:tcBorders>
          </w:tcPr>
          <w:p>
            <w:pPr>
              <w:spacing w:before="156" w:beforeLines="5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580</w:t>
            </w:r>
          </w:p>
        </w:tc>
        <w:tc>
          <w:tcPr>
            <w:tcW w:w="2409" w:type="dxa"/>
            <w:tcBorders>
              <w:bottom w:val="single" w:color="auto" w:sz="12" w:space="0"/>
            </w:tcBorders>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100%</w:t>
            </w:r>
          </w:p>
        </w:tc>
        <w:tc>
          <w:tcPr>
            <w:tcW w:w="2268" w:type="dxa"/>
            <w:tcBorders>
              <w:bottom w:val="single" w:color="auto" w:sz="12" w:space="0"/>
            </w:tcBorders>
          </w:tcPr>
          <w:p>
            <w:pPr>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bl>
    <w:p>
      <w:pPr>
        <w:spacing w:before="156" w:beforeLines="50" w:line="360" w:lineRule="auto"/>
        <w:ind w:firstLine="555"/>
        <w:rPr>
          <w:rFonts w:ascii="宋体" w:hAnsi="宋体"/>
          <w:b/>
          <w:sz w:val="24"/>
        </w:rPr>
      </w:pPr>
      <w:r>
        <w:rPr>
          <w:rFonts w:hint="eastAsia" w:ascii="宋体" w:hAnsi="宋体"/>
          <w:b/>
          <w:sz w:val="24"/>
        </w:rPr>
        <w:t>第四条  定价依据及认缴价款</w:t>
      </w:r>
    </w:p>
    <w:p>
      <w:pPr>
        <w:spacing w:before="156" w:beforeLines="50" w:line="360" w:lineRule="auto"/>
        <w:ind w:firstLine="480" w:firstLineChars="200"/>
        <w:rPr>
          <w:rFonts w:ascii="宋体" w:hAnsi="宋体"/>
          <w:sz w:val="24"/>
          <w:highlight w:val="yellow"/>
        </w:rPr>
      </w:pPr>
      <w:r>
        <w:rPr>
          <w:rFonts w:hint="eastAsia" w:ascii="宋体" w:hAnsi="宋体"/>
          <w:sz w:val="24"/>
        </w:rPr>
        <w:t>4.1本协议签订</w:t>
      </w:r>
      <w:r>
        <w:rPr>
          <w:rFonts w:hint="eastAsia" w:ascii="宋体" w:hAnsi="宋体"/>
          <w:sz w:val="24"/>
          <w:lang w:val="en-US" w:eastAsia="zh-CN"/>
        </w:rPr>
        <w:t>后</w:t>
      </w:r>
      <w:r>
        <w:rPr>
          <w:rFonts w:hint="eastAsia" w:ascii="宋体" w:hAnsi="宋体"/>
          <w:sz w:val="24"/>
        </w:rPr>
        <w:t>，甲、乙</w:t>
      </w:r>
      <w:r>
        <w:rPr>
          <w:rFonts w:hint="eastAsia" w:ascii="宋体" w:hAnsi="宋体"/>
          <w:sz w:val="24"/>
          <w:lang w:eastAsia="zh-CN"/>
        </w:rPr>
        <w:t>、</w:t>
      </w:r>
      <w:r>
        <w:rPr>
          <w:rFonts w:hint="eastAsia" w:ascii="宋体" w:hAnsi="宋体"/>
          <w:sz w:val="24"/>
          <w:lang w:val="en-US" w:eastAsia="zh-CN"/>
        </w:rPr>
        <w:t>丙、丁</w:t>
      </w:r>
      <w:r>
        <w:rPr>
          <w:rFonts w:hint="eastAsia" w:ascii="宋体" w:hAnsi="宋体"/>
          <w:sz w:val="24"/>
        </w:rPr>
        <w:t>方</w:t>
      </w:r>
      <w:r>
        <w:rPr>
          <w:rFonts w:hint="eastAsia" w:ascii="宋体" w:hAnsi="宋体"/>
          <w:sz w:val="24"/>
          <w:lang w:val="en-US" w:eastAsia="zh-CN"/>
        </w:rPr>
        <w:t>共同</w:t>
      </w:r>
      <w:r>
        <w:rPr>
          <w:rFonts w:hint="eastAsia" w:ascii="宋体" w:hAnsi="宋体"/>
          <w:sz w:val="24"/>
        </w:rPr>
        <w:t>委托</w:t>
      </w:r>
      <w:r>
        <w:rPr>
          <w:rFonts w:hint="eastAsia" w:ascii="宋体" w:hAnsi="宋体"/>
          <w:color w:val="C00000"/>
          <w:sz w:val="24"/>
          <w:u w:val="single"/>
        </w:rPr>
        <w:t xml:space="preserve">     </w:t>
      </w:r>
      <w:r>
        <w:rPr>
          <w:rFonts w:hint="eastAsia" w:ascii="宋体" w:hAnsi="宋体"/>
          <w:sz w:val="24"/>
        </w:rPr>
        <w:t>会计师事务所对目标公司进行了财务审计并出具了《</w:t>
      </w:r>
      <w:r>
        <w:rPr>
          <w:rFonts w:hint="eastAsia" w:ascii="宋体" w:hAnsi="宋体"/>
          <w:sz w:val="24"/>
          <w:lang w:val="en-US" w:eastAsia="zh-CN"/>
        </w:rPr>
        <w:t>财务</w:t>
      </w:r>
      <w:r>
        <w:rPr>
          <w:rFonts w:hint="eastAsia" w:ascii="宋体" w:hAnsi="宋体"/>
          <w:sz w:val="24"/>
        </w:rPr>
        <w:t>审计报告》</w:t>
      </w:r>
      <w:r>
        <w:rPr>
          <w:rFonts w:hint="eastAsia" w:ascii="宋体" w:hAnsi="宋体"/>
          <w:sz w:val="24"/>
          <w:lang w:eastAsia="zh-CN"/>
        </w:rPr>
        <w:t>；</w:t>
      </w:r>
      <w:r>
        <w:rPr>
          <w:rFonts w:hint="eastAsia" w:ascii="宋体" w:hAnsi="宋体"/>
          <w:sz w:val="24"/>
        </w:rPr>
        <w:t>委托</w:t>
      </w:r>
      <w:r>
        <w:rPr>
          <w:rFonts w:hint="eastAsia" w:ascii="宋体" w:hAnsi="宋体"/>
          <w:sz w:val="24"/>
          <w:u w:val="single"/>
        </w:rPr>
        <w:t xml:space="preserve">    </w:t>
      </w:r>
      <w:r>
        <w:rPr>
          <w:rFonts w:hint="eastAsia" w:ascii="宋体" w:hAnsi="宋体"/>
          <w:sz w:val="24"/>
        </w:rPr>
        <w:t>资产评估有限公司对目标公司整体资产进行</w:t>
      </w:r>
      <w:r>
        <w:rPr>
          <w:rFonts w:hint="eastAsia" w:ascii="宋体" w:hAnsi="宋体"/>
          <w:sz w:val="24"/>
          <w:lang w:val="en-US" w:eastAsia="zh-CN"/>
        </w:rPr>
        <w:t>清产核资资产评估</w:t>
      </w:r>
      <w:r>
        <w:rPr>
          <w:rFonts w:hint="eastAsia" w:ascii="宋体" w:hAnsi="宋体"/>
          <w:sz w:val="24"/>
        </w:rPr>
        <w:t>，并出具了《</w:t>
      </w:r>
      <w:r>
        <w:rPr>
          <w:rFonts w:hint="eastAsia" w:ascii="宋体" w:hAnsi="宋体"/>
          <w:sz w:val="24"/>
          <w:lang w:val="en-US" w:eastAsia="zh-CN"/>
        </w:rPr>
        <w:t>清产核资审计</w:t>
      </w:r>
      <w:r>
        <w:rPr>
          <w:rFonts w:hint="eastAsia" w:ascii="宋体" w:hAnsi="宋体"/>
          <w:sz w:val="24"/>
        </w:rPr>
        <w:t>报告》。</w:t>
      </w:r>
      <w:r>
        <w:rPr>
          <w:rFonts w:hint="eastAsia" w:ascii="宋体" w:hAnsi="宋体"/>
          <w:color w:val="C00000"/>
          <w:sz w:val="24"/>
          <w:lang w:val="en-US" w:eastAsia="zh-CN"/>
        </w:rPr>
        <w:t>经各方确认后，今后所有数据、指标均以报告为准。本次审计、评估的费用由目标公司承担。</w:t>
      </w:r>
    </w:p>
    <w:p>
      <w:pPr>
        <w:spacing w:before="156" w:beforeLines="50" w:line="360" w:lineRule="auto"/>
        <w:ind w:firstLine="480" w:firstLineChars="200"/>
        <w:rPr>
          <w:rFonts w:hint="eastAsia" w:ascii="宋体" w:hAnsi="宋体"/>
          <w:color w:val="C00000"/>
          <w:sz w:val="24"/>
          <w:lang w:eastAsia="zh-CN"/>
        </w:rPr>
      </w:pPr>
      <w:r>
        <w:rPr>
          <w:rFonts w:hint="eastAsia" w:ascii="宋体" w:hAnsi="宋体"/>
          <w:sz w:val="24"/>
        </w:rPr>
        <w:t>上述财务审计及资产评估</w:t>
      </w:r>
      <w:r>
        <w:rPr>
          <w:rFonts w:hint="eastAsia" w:ascii="宋体" w:hAnsi="宋体"/>
          <w:color w:val="C00000"/>
          <w:sz w:val="24"/>
        </w:rPr>
        <w:t>基准日为20</w:t>
      </w:r>
      <w:r>
        <w:rPr>
          <w:rFonts w:hint="eastAsia" w:ascii="宋体" w:hAnsi="宋体"/>
          <w:color w:val="C00000"/>
          <w:sz w:val="24"/>
          <w:lang w:val="en-US" w:eastAsia="zh-CN"/>
        </w:rPr>
        <w:t>21</w:t>
      </w:r>
      <w:r>
        <w:rPr>
          <w:rFonts w:hint="eastAsia" w:ascii="宋体" w:hAnsi="宋体"/>
          <w:color w:val="C00000"/>
          <w:sz w:val="24"/>
        </w:rPr>
        <w:t>年</w:t>
      </w:r>
      <w:r>
        <w:rPr>
          <w:rFonts w:hint="eastAsia" w:ascii="宋体" w:hAnsi="宋体"/>
          <w:color w:val="C00000"/>
          <w:sz w:val="24"/>
          <w:lang w:val="en-US" w:eastAsia="zh-CN"/>
        </w:rPr>
        <w:t>9</w:t>
      </w:r>
      <w:r>
        <w:rPr>
          <w:rFonts w:hint="eastAsia" w:ascii="宋体" w:hAnsi="宋体"/>
          <w:color w:val="C00000"/>
          <w:sz w:val="24"/>
        </w:rPr>
        <w:t>月3</w:t>
      </w:r>
      <w:r>
        <w:rPr>
          <w:rFonts w:hint="eastAsia" w:ascii="宋体" w:hAnsi="宋体"/>
          <w:color w:val="C00000"/>
          <w:sz w:val="24"/>
          <w:lang w:val="en-US" w:eastAsia="zh-CN"/>
        </w:rPr>
        <w:t>0</w:t>
      </w:r>
      <w:r>
        <w:rPr>
          <w:rFonts w:hint="eastAsia" w:ascii="宋体" w:hAnsi="宋体"/>
          <w:color w:val="C00000"/>
          <w:sz w:val="24"/>
        </w:rPr>
        <w:t>日</w:t>
      </w:r>
      <w:r>
        <w:rPr>
          <w:rFonts w:hint="eastAsia" w:ascii="宋体" w:hAnsi="宋体"/>
          <w:color w:val="C00000"/>
          <w:sz w:val="24"/>
          <w:lang w:eastAsia="zh-CN"/>
        </w:rPr>
        <w:t>。</w:t>
      </w:r>
    </w:p>
    <w:p>
      <w:pPr>
        <w:spacing w:before="156" w:beforeLines="50" w:line="360" w:lineRule="auto"/>
        <w:ind w:firstLine="480" w:firstLineChars="200"/>
        <w:rPr>
          <w:rFonts w:ascii="宋体" w:hAnsi="宋体"/>
          <w:sz w:val="24"/>
        </w:rPr>
      </w:pPr>
      <w:r>
        <w:rPr>
          <w:rFonts w:hint="eastAsia" w:ascii="宋体" w:hAnsi="宋体"/>
          <w:sz w:val="24"/>
        </w:rPr>
        <w:t>4.2本协议各方经协商确定，目标公司本次新增注册资本按照1：1比例确定认缴价款，即目标公司每1元新增注册资本需缴纳1元的认缴价款，</w:t>
      </w:r>
      <w:r>
        <w:rPr>
          <w:rFonts w:hint="eastAsia" w:ascii="宋体" w:hAnsi="宋体"/>
          <w:sz w:val="24"/>
          <w:lang w:val="en-US" w:eastAsia="zh-CN"/>
        </w:rPr>
        <w:t>乙、丙、丁</w:t>
      </w:r>
      <w:r>
        <w:rPr>
          <w:rFonts w:hint="eastAsia" w:ascii="宋体" w:hAnsi="宋体"/>
          <w:sz w:val="24"/>
        </w:rPr>
        <w:t>方认缴目标公司新增注册资本</w:t>
      </w:r>
      <w:r>
        <w:rPr>
          <w:rFonts w:hint="eastAsia" w:ascii="宋体" w:hAnsi="宋体"/>
          <w:sz w:val="24"/>
          <w:lang w:val="en-US" w:eastAsia="zh-CN"/>
        </w:rPr>
        <w:t>400</w:t>
      </w:r>
      <w:r>
        <w:rPr>
          <w:rFonts w:hint="eastAsia" w:ascii="宋体" w:hAnsi="宋体"/>
          <w:sz w:val="24"/>
        </w:rPr>
        <w:t>万元，需支付认缴价款</w:t>
      </w:r>
      <w:r>
        <w:rPr>
          <w:rFonts w:hint="eastAsia" w:ascii="宋体" w:hAnsi="宋体"/>
          <w:sz w:val="24"/>
          <w:lang w:val="en-US" w:eastAsia="zh-CN"/>
        </w:rPr>
        <w:t>400</w:t>
      </w:r>
      <w:r>
        <w:rPr>
          <w:rFonts w:hint="eastAsia" w:ascii="宋体" w:hAnsi="宋体"/>
          <w:sz w:val="24"/>
        </w:rPr>
        <w:t>万元。</w:t>
      </w:r>
    </w:p>
    <w:p>
      <w:pPr>
        <w:spacing w:before="156" w:beforeLines="50" w:line="360" w:lineRule="auto"/>
        <w:ind w:firstLine="480" w:firstLineChars="200"/>
        <w:rPr>
          <w:rFonts w:ascii="宋体" w:hAnsi="宋体"/>
          <w:sz w:val="24"/>
        </w:rPr>
      </w:pPr>
      <w:r>
        <w:rPr>
          <w:rFonts w:hint="eastAsia" w:ascii="宋体" w:hAnsi="宋体"/>
          <w:sz w:val="24"/>
        </w:rPr>
        <w:t>4.3本协议各方同意，</w:t>
      </w:r>
      <w:r>
        <w:rPr>
          <w:rFonts w:hint="eastAsia" w:ascii="宋体" w:hAnsi="宋体"/>
          <w:sz w:val="24"/>
          <w:lang w:val="en-US" w:eastAsia="zh-CN"/>
        </w:rPr>
        <w:t>乙、丙、丁</w:t>
      </w:r>
      <w:r>
        <w:rPr>
          <w:rFonts w:hint="eastAsia" w:ascii="宋体" w:hAnsi="宋体"/>
          <w:sz w:val="24"/>
        </w:rPr>
        <w:t>方以货币方式认缴目标公司全部新增注册资本。</w:t>
      </w:r>
    </w:p>
    <w:p>
      <w:pPr>
        <w:spacing w:before="156" w:beforeLines="50" w:line="360" w:lineRule="auto"/>
        <w:ind w:firstLine="480" w:firstLineChars="200"/>
        <w:rPr>
          <w:rFonts w:ascii="宋体" w:hAnsi="宋体"/>
          <w:sz w:val="24"/>
        </w:rPr>
      </w:pPr>
      <w:r>
        <w:rPr>
          <w:rFonts w:hint="eastAsia" w:ascii="宋体" w:hAnsi="宋体"/>
          <w:sz w:val="24"/>
        </w:rPr>
        <w:t>4.4</w:t>
      </w:r>
      <w:r>
        <w:rPr>
          <w:rFonts w:hint="eastAsia" w:ascii="宋体" w:hAnsi="宋体"/>
          <w:color w:val="C00000"/>
          <w:sz w:val="24"/>
        </w:rPr>
        <w:t>本</w:t>
      </w:r>
      <w:r>
        <w:rPr>
          <w:rFonts w:hint="eastAsia" w:ascii="宋体" w:hAnsi="宋体"/>
          <w:color w:val="C00000"/>
          <w:sz w:val="24"/>
          <w:lang w:val="en-US" w:eastAsia="zh-CN"/>
        </w:rPr>
        <w:t>次增资扩股市场交易摘牌</w:t>
      </w:r>
      <w:r>
        <w:rPr>
          <w:rFonts w:hint="eastAsia" w:ascii="宋体" w:hAnsi="宋体"/>
          <w:color w:val="C00000"/>
          <w:sz w:val="24"/>
        </w:rPr>
        <w:t>后</w:t>
      </w:r>
      <w:r>
        <w:rPr>
          <w:rFonts w:hint="eastAsia" w:ascii="宋体" w:hAnsi="宋体"/>
          <w:color w:val="C00000"/>
          <w:sz w:val="24"/>
          <w:u w:val="single"/>
        </w:rPr>
        <w:t xml:space="preserve"> </w:t>
      </w:r>
      <w:r>
        <w:rPr>
          <w:rFonts w:hint="eastAsia" w:ascii="宋体" w:hAnsi="宋体"/>
          <w:color w:val="C00000"/>
          <w:sz w:val="24"/>
          <w:u w:val="single"/>
          <w:lang w:val="en-US" w:eastAsia="zh-CN"/>
        </w:rPr>
        <w:t>15</w:t>
      </w:r>
      <w:r>
        <w:rPr>
          <w:rFonts w:hint="eastAsia" w:ascii="宋体" w:hAnsi="宋体"/>
          <w:color w:val="C00000"/>
          <w:sz w:val="24"/>
          <w:u w:val="single"/>
        </w:rPr>
        <w:t xml:space="preserve"> </w:t>
      </w:r>
      <w:r>
        <w:rPr>
          <w:rFonts w:hint="eastAsia" w:ascii="宋体" w:hAnsi="宋体"/>
          <w:color w:val="C00000"/>
          <w:sz w:val="24"/>
        </w:rPr>
        <w:t>日内，</w:t>
      </w:r>
      <w:r>
        <w:rPr>
          <w:rFonts w:hint="eastAsia" w:ascii="宋体" w:hAnsi="宋体"/>
          <w:sz w:val="24"/>
          <w:lang w:val="en-US" w:eastAsia="zh-CN"/>
        </w:rPr>
        <w:t>乙</w:t>
      </w:r>
      <w:r>
        <w:rPr>
          <w:rFonts w:hint="eastAsia" w:ascii="宋体" w:hAnsi="宋体"/>
          <w:sz w:val="24"/>
        </w:rPr>
        <w:t>方向目标公司指定账户支付认缴价款</w:t>
      </w:r>
      <w:r>
        <w:rPr>
          <w:rFonts w:hint="eastAsia" w:ascii="宋体" w:hAnsi="宋体"/>
          <w:sz w:val="24"/>
          <w:lang w:val="en-US" w:eastAsia="zh-CN"/>
        </w:rPr>
        <w:t>168</w:t>
      </w:r>
      <w:r>
        <w:rPr>
          <w:rFonts w:hint="eastAsia" w:ascii="宋体" w:hAnsi="宋体"/>
          <w:sz w:val="24"/>
        </w:rPr>
        <w:t>万元</w:t>
      </w:r>
      <w:r>
        <w:rPr>
          <w:rFonts w:hint="eastAsia" w:ascii="宋体" w:hAnsi="宋体"/>
          <w:sz w:val="24"/>
          <w:lang w:eastAsia="zh-CN"/>
        </w:rPr>
        <w:t>，</w:t>
      </w:r>
      <w:r>
        <w:rPr>
          <w:rFonts w:hint="eastAsia" w:ascii="宋体" w:hAnsi="宋体"/>
          <w:sz w:val="24"/>
          <w:lang w:val="en-US" w:eastAsia="zh-CN"/>
        </w:rPr>
        <w:t>丙</w:t>
      </w:r>
      <w:r>
        <w:rPr>
          <w:rFonts w:hint="eastAsia" w:ascii="宋体" w:hAnsi="宋体"/>
          <w:sz w:val="24"/>
        </w:rPr>
        <w:t>方向目标公司指定账户支付认缴价款</w:t>
      </w:r>
      <w:r>
        <w:rPr>
          <w:rFonts w:hint="eastAsia" w:ascii="宋体" w:hAnsi="宋体"/>
          <w:sz w:val="24"/>
          <w:lang w:val="en-US" w:eastAsia="zh-CN"/>
        </w:rPr>
        <w:t>145</w:t>
      </w:r>
      <w:r>
        <w:rPr>
          <w:rFonts w:hint="eastAsia" w:ascii="宋体" w:hAnsi="宋体"/>
          <w:sz w:val="24"/>
        </w:rPr>
        <w:t>万元</w:t>
      </w:r>
      <w:r>
        <w:rPr>
          <w:rFonts w:hint="eastAsia" w:ascii="宋体" w:hAnsi="宋体"/>
          <w:sz w:val="24"/>
          <w:lang w:eastAsia="zh-CN"/>
        </w:rPr>
        <w:t>，</w:t>
      </w:r>
      <w:r>
        <w:rPr>
          <w:rFonts w:hint="eastAsia" w:ascii="宋体" w:hAnsi="宋体"/>
          <w:sz w:val="24"/>
          <w:lang w:val="en-US" w:eastAsia="zh-CN"/>
        </w:rPr>
        <w:t>丁</w:t>
      </w:r>
      <w:r>
        <w:rPr>
          <w:rFonts w:hint="eastAsia" w:ascii="宋体" w:hAnsi="宋体"/>
          <w:sz w:val="24"/>
        </w:rPr>
        <w:t>方向目标公司指定账户支付认缴价款</w:t>
      </w:r>
      <w:r>
        <w:rPr>
          <w:rFonts w:hint="eastAsia" w:ascii="宋体" w:hAnsi="宋体"/>
          <w:sz w:val="24"/>
          <w:lang w:val="en-US" w:eastAsia="zh-CN"/>
        </w:rPr>
        <w:t>87</w:t>
      </w:r>
      <w:r>
        <w:rPr>
          <w:rFonts w:hint="eastAsia" w:ascii="宋体" w:hAnsi="宋体"/>
          <w:sz w:val="24"/>
        </w:rPr>
        <w:t>万元。</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第五条 交割及损益承担</w:t>
      </w:r>
    </w:p>
    <w:p>
      <w:pPr>
        <w:spacing w:before="156" w:beforeLines="50" w:line="360" w:lineRule="auto"/>
        <w:ind w:firstLine="480" w:firstLineChars="200"/>
        <w:rPr>
          <w:rFonts w:ascii="宋体" w:hAnsi="宋体"/>
          <w:sz w:val="24"/>
        </w:rPr>
      </w:pPr>
      <w:r>
        <w:rPr>
          <w:rFonts w:hint="eastAsia" w:ascii="宋体" w:hAnsi="宋体"/>
          <w:sz w:val="24"/>
        </w:rPr>
        <w:t>5.1本协议各方确认，本协议项下股权交割日为目标公司本次增资工商变更登记完成之日。</w:t>
      </w:r>
    </w:p>
    <w:p>
      <w:pPr>
        <w:spacing w:before="156" w:beforeLines="50" w:line="360" w:lineRule="auto"/>
        <w:ind w:firstLine="480" w:firstLineChars="200"/>
        <w:rPr>
          <w:rFonts w:ascii="宋体" w:hAnsi="宋体"/>
          <w:sz w:val="24"/>
        </w:rPr>
      </w:pPr>
      <w:r>
        <w:rPr>
          <w:rFonts w:hint="eastAsia" w:ascii="宋体" w:hAnsi="宋体"/>
          <w:sz w:val="24"/>
        </w:rPr>
        <w:t>5.2本协议各方确认，评估基准日至股权交割日期间，目标公司正常经营所产生的损益由目标公司继续承担，超出正常经营所产生的损益全部由</w:t>
      </w:r>
      <w:r>
        <w:rPr>
          <w:rFonts w:hint="eastAsia" w:ascii="宋体" w:hAnsi="宋体"/>
          <w:sz w:val="24"/>
          <w:lang w:val="en-US" w:eastAsia="zh-CN"/>
        </w:rPr>
        <w:t>甲</w:t>
      </w:r>
      <w:r>
        <w:rPr>
          <w:rFonts w:hint="eastAsia" w:ascii="宋体" w:hAnsi="宋体"/>
          <w:sz w:val="24"/>
        </w:rPr>
        <w:t>方承担。</w:t>
      </w:r>
    </w:p>
    <w:p>
      <w:pPr>
        <w:spacing w:before="156" w:beforeLines="50" w:line="360" w:lineRule="auto"/>
        <w:ind w:firstLine="482" w:firstLineChars="200"/>
        <w:rPr>
          <w:rFonts w:ascii="宋体" w:hAnsi="宋体"/>
          <w:b/>
          <w:sz w:val="24"/>
        </w:rPr>
      </w:pPr>
      <w:r>
        <w:rPr>
          <w:rFonts w:hint="eastAsia" w:ascii="宋体" w:hAnsi="宋体"/>
          <w:b/>
          <w:sz w:val="24"/>
        </w:rPr>
        <w:t>第六条  验资</w:t>
      </w:r>
    </w:p>
    <w:p>
      <w:pPr>
        <w:spacing w:before="156" w:beforeLines="50" w:line="360" w:lineRule="auto"/>
        <w:ind w:firstLine="480" w:firstLineChars="200"/>
        <w:rPr>
          <w:rFonts w:ascii="宋体" w:hAnsi="宋体"/>
          <w:sz w:val="24"/>
        </w:rPr>
      </w:pPr>
      <w:r>
        <w:rPr>
          <w:rFonts w:hint="eastAsia" w:ascii="宋体" w:hAnsi="宋体"/>
          <w:sz w:val="24"/>
          <w:lang w:val="en-US" w:eastAsia="zh-CN"/>
        </w:rPr>
        <w:t>乙、丙、丁</w:t>
      </w:r>
      <w:r>
        <w:rPr>
          <w:rFonts w:hint="eastAsia" w:ascii="宋体" w:hAnsi="宋体"/>
          <w:sz w:val="24"/>
        </w:rPr>
        <w:t>方支付增资认缴价款后</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日内，目标公司应聘请具有资质的中介机构进行验资，并取得《验资报告》。</w:t>
      </w:r>
    </w:p>
    <w:p>
      <w:pPr>
        <w:spacing w:before="156" w:beforeLines="50" w:line="360" w:lineRule="auto"/>
        <w:ind w:firstLine="482" w:firstLineChars="200"/>
        <w:rPr>
          <w:rFonts w:ascii="宋体" w:hAnsi="宋体"/>
          <w:b/>
          <w:sz w:val="24"/>
        </w:rPr>
      </w:pPr>
      <w:r>
        <w:rPr>
          <w:rFonts w:hint="eastAsia" w:ascii="宋体" w:hAnsi="宋体"/>
          <w:b/>
          <w:sz w:val="24"/>
        </w:rPr>
        <w:t>第七条  变更登记</w:t>
      </w:r>
    </w:p>
    <w:p>
      <w:pPr>
        <w:spacing w:before="156" w:beforeLines="50" w:line="360" w:lineRule="auto"/>
        <w:ind w:firstLine="480" w:firstLineChars="200"/>
        <w:rPr>
          <w:rFonts w:ascii="宋体" w:hAnsi="宋体"/>
          <w:sz w:val="24"/>
        </w:rPr>
      </w:pPr>
      <w:r>
        <w:rPr>
          <w:rFonts w:hint="eastAsia" w:ascii="宋体" w:hAnsi="宋体"/>
          <w:sz w:val="24"/>
          <w:lang w:val="en-US" w:eastAsia="zh-CN"/>
        </w:rPr>
        <w:t>乙、丙、丁</w:t>
      </w:r>
      <w:r>
        <w:rPr>
          <w:rFonts w:hint="eastAsia" w:ascii="宋体" w:hAnsi="宋体"/>
          <w:sz w:val="24"/>
        </w:rPr>
        <w:t>方支付增资认缴价款后</w:t>
      </w:r>
      <w:r>
        <w:rPr>
          <w:rFonts w:hint="eastAsia" w:ascii="宋体" w:hAnsi="宋体"/>
          <w:sz w:val="24"/>
          <w:u w:val="single"/>
        </w:rPr>
        <w:t xml:space="preserve"> </w:t>
      </w:r>
      <w:r>
        <w:rPr>
          <w:rFonts w:hint="eastAsia" w:ascii="宋体" w:hAnsi="宋体"/>
          <w:sz w:val="24"/>
          <w:u w:val="single"/>
          <w:lang w:val="en-US" w:eastAsia="zh-CN"/>
        </w:rPr>
        <w:t>15</w:t>
      </w:r>
      <w:r>
        <w:rPr>
          <w:rFonts w:hint="eastAsia" w:ascii="宋体" w:hAnsi="宋体"/>
          <w:sz w:val="24"/>
          <w:u w:val="single"/>
        </w:rPr>
        <w:t xml:space="preserve"> </w:t>
      </w:r>
      <w:r>
        <w:rPr>
          <w:rFonts w:hint="eastAsia" w:ascii="宋体" w:hAnsi="宋体"/>
          <w:sz w:val="24"/>
        </w:rPr>
        <w:t>日内，目标公司负责完成</w:t>
      </w:r>
      <w:r>
        <w:rPr>
          <w:rFonts w:ascii="宋体" w:hAnsi="宋体"/>
          <w:sz w:val="24"/>
        </w:rPr>
        <w:t>本次增资</w:t>
      </w:r>
      <w:r>
        <w:rPr>
          <w:rFonts w:hint="eastAsia" w:ascii="宋体" w:hAnsi="宋体"/>
          <w:sz w:val="24"/>
        </w:rPr>
        <w:t>的</w:t>
      </w:r>
      <w:r>
        <w:rPr>
          <w:rFonts w:ascii="宋体" w:hAnsi="宋体"/>
          <w:sz w:val="24"/>
        </w:rPr>
        <w:t>工商变更登记手续</w:t>
      </w:r>
      <w:r>
        <w:rPr>
          <w:rFonts w:hint="eastAsia" w:ascii="宋体" w:hAnsi="宋体"/>
          <w:sz w:val="24"/>
        </w:rPr>
        <w:t>，甲方应签署或提供一切必要的法律文件，协助目标办理公司注册资本及公司章程、营业执照、董监事改选等工商登记事项的变更。</w:t>
      </w:r>
    </w:p>
    <w:p>
      <w:pPr>
        <w:spacing w:before="156" w:beforeLines="50" w:line="360" w:lineRule="auto"/>
        <w:ind w:firstLine="482" w:firstLineChars="200"/>
        <w:rPr>
          <w:rFonts w:ascii="宋体" w:hAnsi="宋体"/>
          <w:b/>
          <w:bCs/>
          <w:spacing w:val="8"/>
          <w:sz w:val="24"/>
        </w:rPr>
      </w:pPr>
      <w:r>
        <w:rPr>
          <w:rFonts w:hint="eastAsia" w:ascii="宋体" w:hAnsi="宋体"/>
          <w:b/>
          <w:sz w:val="24"/>
        </w:rPr>
        <w:t xml:space="preserve">第八条  </w:t>
      </w:r>
      <w:r>
        <w:rPr>
          <w:rFonts w:hint="eastAsia" w:ascii="宋体" w:hAnsi="宋体"/>
          <w:b/>
          <w:bCs/>
          <w:spacing w:val="8"/>
          <w:sz w:val="24"/>
        </w:rPr>
        <w:t>目标公司的组织机构安排</w:t>
      </w:r>
    </w:p>
    <w:p>
      <w:pPr>
        <w:adjustRightInd w:val="0"/>
        <w:snapToGrid w:val="0"/>
        <w:spacing w:before="156" w:beforeLines="50" w:line="360" w:lineRule="auto"/>
        <w:ind w:firstLine="512" w:firstLineChars="200"/>
        <w:rPr>
          <w:rFonts w:ascii="宋体" w:hAnsi="宋体"/>
          <w:spacing w:val="-2"/>
          <w:sz w:val="24"/>
        </w:rPr>
      </w:pPr>
      <w:r>
        <w:rPr>
          <w:rFonts w:hint="eastAsia" w:ascii="宋体" w:hAnsi="宋体"/>
          <w:spacing w:val="8"/>
          <w:sz w:val="24"/>
        </w:rPr>
        <w:t>8.1</w:t>
      </w:r>
      <w:r>
        <w:rPr>
          <w:rFonts w:hint="eastAsia" w:ascii="宋体" w:hAnsi="宋体"/>
          <w:spacing w:val="-2"/>
          <w:sz w:val="24"/>
        </w:rPr>
        <w:t>股东会</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8.1.1目标公司增资完成后，甲、乙</w:t>
      </w:r>
      <w:r>
        <w:rPr>
          <w:rFonts w:hint="eastAsia" w:ascii="宋体" w:hAnsi="宋体"/>
          <w:spacing w:val="-2"/>
          <w:sz w:val="24"/>
          <w:lang w:eastAsia="zh-CN"/>
        </w:rPr>
        <w:t>、</w:t>
      </w:r>
      <w:r>
        <w:rPr>
          <w:rFonts w:hint="eastAsia" w:ascii="宋体" w:hAnsi="宋体"/>
          <w:spacing w:val="-2"/>
          <w:sz w:val="24"/>
          <w:lang w:val="en-US" w:eastAsia="zh-CN"/>
        </w:rPr>
        <w:t>丙、丁</w:t>
      </w:r>
      <w:r>
        <w:rPr>
          <w:rFonts w:hint="eastAsia" w:ascii="宋体" w:hAnsi="宋体"/>
          <w:spacing w:val="-2"/>
          <w:sz w:val="24"/>
        </w:rPr>
        <w:t>方为目标公司股东，依照《中华人民共和国公司法》以及其他法律法规、部门规章和目标公司《公司章程》的约定享有权利、承担义务。</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8.1.2股东会为公司权力机关，对公司重大事务作出决定。</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8.2董事会</w:t>
      </w:r>
    </w:p>
    <w:p>
      <w:pPr>
        <w:adjustRightInd w:val="0"/>
        <w:snapToGrid w:val="0"/>
        <w:spacing w:before="156" w:beforeLines="50" w:line="360" w:lineRule="auto"/>
        <w:ind w:firstLine="472" w:firstLineChars="200"/>
        <w:rPr>
          <w:rFonts w:ascii="宋体" w:hAnsi="宋体"/>
          <w:color w:val="C00000"/>
          <w:spacing w:val="-2"/>
          <w:sz w:val="24"/>
        </w:rPr>
      </w:pPr>
      <w:r>
        <w:rPr>
          <w:rFonts w:hint="eastAsia" w:ascii="宋体" w:hAnsi="宋体"/>
          <w:spacing w:val="-2"/>
          <w:sz w:val="24"/>
        </w:rPr>
        <w:t>8.2.1目标公司增资完成后，董事会由</w:t>
      </w:r>
      <w:r>
        <w:rPr>
          <w:rFonts w:hint="eastAsia" w:ascii="宋体" w:hAnsi="宋体"/>
          <w:spacing w:val="-2"/>
          <w:sz w:val="24"/>
          <w:lang w:val="en-US" w:eastAsia="zh-CN"/>
        </w:rPr>
        <w:t>5</w:t>
      </w:r>
      <w:r>
        <w:rPr>
          <w:rFonts w:hint="eastAsia" w:ascii="宋体" w:hAnsi="宋体"/>
          <w:spacing w:val="-2"/>
          <w:sz w:val="24"/>
        </w:rPr>
        <w:t>名董事组成，其中，甲方推荐</w:t>
      </w:r>
      <w:r>
        <w:rPr>
          <w:rFonts w:hint="eastAsia" w:ascii="宋体" w:hAnsi="宋体"/>
          <w:spacing w:val="-2"/>
          <w:sz w:val="24"/>
          <w:lang w:val="en-US" w:eastAsia="zh-CN"/>
        </w:rPr>
        <w:t>1</w:t>
      </w:r>
      <w:r>
        <w:rPr>
          <w:rFonts w:hint="eastAsia" w:ascii="宋体" w:hAnsi="宋体"/>
          <w:spacing w:val="-2"/>
          <w:sz w:val="24"/>
        </w:rPr>
        <w:t>名，乙方推荐</w:t>
      </w:r>
      <w:r>
        <w:rPr>
          <w:rFonts w:hint="eastAsia" w:ascii="宋体" w:hAnsi="宋体"/>
          <w:spacing w:val="8"/>
          <w:sz w:val="24"/>
        </w:rPr>
        <w:t>1</w:t>
      </w:r>
      <w:r>
        <w:rPr>
          <w:rFonts w:hint="eastAsia" w:ascii="宋体" w:hAnsi="宋体"/>
          <w:spacing w:val="-2"/>
          <w:sz w:val="24"/>
        </w:rPr>
        <w:t>名</w:t>
      </w:r>
      <w:r>
        <w:rPr>
          <w:rFonts w:hint="eastAsia" w:ascii="宋体" w:hAnsi="宋体"/>
          <w:spacing w:val="-2"/>
          <w:sz w:val="24"/>
          <w:lang w:eastAsia="zh-CN"/>
        </w:rPr>
        <w:t>，</w:t>
      </w:r>
      <w:r>
        <w:rPr>
          <w:rFonts w:hint="eastAsia" w:ascii="宋体" w:hAnsi="宋体"/>
          <w:spacing w:val="-2"/>
          <w:sz w:val="24"/>
          <w:lang w:val="en-US" w:eastAsia="zh-CN"/>
        </w:rPr>
        <w:t>丙方推荐1名，丁方推荐1名，职工董事1名</w:t>
      </w:r>
      <w:r>
        <w:rPr>
          <w:rFonts w:hint="eastAsia" w:ascii="宋体" w:hAnsi="宋体"/>
          <w:spacing w:val="-2"/>
          <w:sz w:val="24"/>
        </w:rPr>
        <w:t>。</w:t>
      </w:r>
      <w:r>
        <w:rPr>
          <w:rFonts w:hint="eastAsia" w:ascii="宋体" w:hAnsi="宋体"/>
          <w:color w:val="C00000"/>
          <w:spacing w:val="-2"/>
          <w:sz w:val="24"/>
          <w:lang w:val="en-US" w:eastAsia="zh-CN"/>
        </w:rPr>
        <w:t>兼职董事原则上在目标公司不领取薪酬。</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8.2.2</w:t>
      </w:r>
      <w:r>
        <w:rPr>
          <w:rFonts w:hint="eastAsia" w:ascii="宋体" w:hAnsi="宋体"/>
          <w:color w:val="C00000"/>
          <w:spacing w:val="-2"/>
          <w:sz w:val="24"/>
        </w:rPr>
        <w:t>目标公司董事长由</w:t>
      </w:r>
      <w:r>
        <w:rPr>
          <w:rFonts w:hint="eastAsia" w:ascii="宋体" w:hAnsi="宋体"/>
          <w:color w:val="C00000"/>
          <w:spacing w:val="-2"/>
          <w:sz w:val="24"/>
          <w:lang w:val="en-US" w:eastAsia="zh-CN"/>
        </w:rPr>
        <w:t>甲、乙、丙、丁</w:t>
      </w:r>
      <w:r>
        <w:rPr>
          <w:rFonts w:hint="eastAsia" w:ascii="宋体" w:hAnsi="宋体"/>
          <w:color w:val="C00000"/>
          <w:spacing w:val="-2"/>
          <w:sz w:val="24"/>
        </w:rPr>
        <w:t>方推荐，</w:t>
      </w:r>
      <w:r>
        <w:rPr>
          <w:rFonts w:hint="eastAsia" w:ascii="宋体" w:hAnsi="宋体"/>
          <w:spacing w:val="-2"/>
          <w:sz w:val="24"/>
        </w:rPr>
        <w:t>并经董事会选举产生，目标公司高级管理人员由目标公司董事会</w:t>
      </w:r>
      <w:r>
        <w:rPr>
          <w:rFonts w:hint="eastAsia" w:ascii="宋体" w:hAnsi="宋体"/>
          <w:spacing w:val="-2"/>
          <w:sz w:val="24"/>
          <w:lang w:val="en-US" w:eastAsia="zh-CN"/>
        </w:rPr>
        <w:t>以市场化方式选聘</w:t>
      </w:r>
      <w:r>
        <w:rPr>
          <w:rFonts w:hint="eastAsia" w:ascii="宋体" w:hAnsi="宋体"/>
          <w:spacing w:val="-2"/>
          <w:sz w:val="24"/>
        </w:rPr>
        <w:t>聘任。</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8.3  监事会</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8.3.1目标公司增资完成后，目标公司监事会由3名监事组成，其中，甲方推荐1名，乙</w:t>
      </w:r>
      <w:r>
        <w:rPr>
          <w:rFonts w:hint="eastAsia" w:ascii="宋体" w:hAnsi="宋体"/>
          <w:spacing w:val="-2"/>
          <w:sz w:val="24"/>
          <w:lang w:eastAsia="zh-CN"/>
        </w:rPr>
        <w:t>、</w:t>
      </w:r>
      <w:r>
        <w:rPr>
          <w:rFonts w:hint="eastAsia" w:ascii="宋体" w:hAnsi="宋体"/>
          <w:spacing w:val="-2"/>
          <w:sz w:val="24"/>
          <w:lang w:val="en-US" w:eastAsia="zh-CN"/>
        </w:rPr>
        <w:t>丙、丁</w:t>
      </w:r>
      <w:r>
        <w:rPr>
          <w:rFonts w:hint="eastAsia" w:ascii="宋体" w:hAnsi="宋体"/>
          <w:spacing w:val="-2"/>
          <w:sz w:val="24"/>
        </w:rPr>
        <w:t>方</w:t>
      </w:r>
      <w:r>
        <w:rPr>
          <w:rFonts w:hint="eastAsia" w:ascii="宋体" w:hAnsi="宋体"/>
          <w:spacing w:val="-2"/>
          <w:sz w:val="24"/>
          <w:lang w:val="en-US" w:eastAsia="zh-CN"/>
        </w:rPr>
        <w:t>共同</w:t>
      </w:r>
      <w:r>
        <w:rPr>
          <w:rFonts w:hint="eastAsia" w:ascii="宋体" w:hAnsi="宋体"/>
          <w:spacing w:val="-2"/>
          <w:sz w:val="24"/>
        </w:rPr>
        <w:t>推荐1名，职工监事1名。</w:t>
      </w:r>
    </w:p>
    <w:p>
      <w:pPr>
        <w:adjustRightInd w:val="0"/>
        <w:snapToGrid w:val="0"/>
        <w:spacing w:before="156" w:beforeLines="50" w:line="360" w:lineRule="auto"/>
        <w:ind w:firstLine="472" w:firstLineChars="200"/>
        <w:rPr>
          <w:rFonts w:hint="eastAsia" w:ascii="宋体" w:hAnsi="宋体"/>
          <w:spacing w:val="-2"/>
          <w:sz w:val="24"/>
        </w:rPr>
      </w:pPr>
      <w:r>
        <w:rPr>
          <w:rFonts w:hint="eastAsia" w:ascii="宋体" w:hAnsi="宋体"/>
          <w:spacing w:val="-2"/>
          <w:sz w:val="24"/>
        </w:rPr>
        <w:t>8.3.2目标公司监事会主席由</w:t>
      </w:r>
      <w:r>
        <w:rPr>
          <w:rFonts w:hint="eastAsia" w:ascii="宋体" w:hAnsi="宋体"/>
          <w:spacing w:val="-2"/>
          <w:sz w:val="24"/>
          <w:lang w:val="en-US" w:eastAsia="zh-CN"/>
        </w:rPr>
        <w:t>乙、丙、丁</w:t>
      </w:r>
      <w:r>
        <w:rPr>
          <w:rFonts w:hint="eastAsia" w:ascii="宋体" w:hAnsi="宋体"/>
          <w:spacing w:val="-2"/>
          <w:sz w:val="24"/>
        </w:rPr>
        <w:t>方推荐，并经监事会选举产生。</w:t>
      </w:r>
    </w:p>
    <w:p>
      <w:pPr>
        <w:adjustRightInd w:val="0"/>
        <w:snapToGrid w:val="0"/>
        <w:spacing w:before="156" w:beforeLines="50" w:line="360" w:lineRule="auto"/>
        <w:ind w:firstLine="472" w:firstLineChars="200"/>
        <w:rPr>
          <w:rFonts w:hint="eastAsia" w:ascii="宋体" w:hAnsi="宋体"/>
          <w:spacing w:val="-2"/>
          <w:sz w:val="24"/>
          <w:lang w:val="en-US" w:eastAsia="zh-CN"/>
        </w:rPr>
      </w:pPr>
      <w:r>
        <w:rPr>
          <w:rFonts w:hint="eastAsia" w:ascii="宋体" w:hAnsi="宋体"/>
          <w:spacing w:val="-2"/>
          <w:sz w:val="24"/>
          <w:lang w:val="en-US" w:eastAsia="zh-CN"/>
        </w:rPr>
        <w:t>8.3.3目标公司完成增资后，目标公司实行董事会领导下的总经理负责制。</w:t>
      </w:r>
      <w:r>
        <w:rPr>
          <w:rFonts w:hint="eastAsia" w:ascii="宋体" w:hAnsi="宋体"/>
          <w:color w:val="C00000"/>
          <w:spacing w:val="-2"/>
          <w:sz w:val="24"/>
          <w:lang w:val="en-US" w:eastAsia="zh-CN"/>
        </w:rPr>
        <w:t>总经理由乙、丙、丁方提名，董事会审议批准</w:t>
      </w:r>
      <w:r>
        <w:rPr>
          <w:rFonts w:hint="eastAsia" w:ascii="宋体" w:hAnsi="宋体"/>
          <w:spacing w:val="-2"/>
          <w:sz w:val="24"/>
          <w:lang w:val="en-US" w:eastAsia="zh-CN"/>
        </w:rPr>
        <w:t>。按照《公司法》、《公司章程》建立健全各项规章制度并保证合规经营。按照董事会审议批准的《公司组织机构设置和人员配置方案》设立经营班子、设置职能部门、配备部门人员。总经理有权决定董事会以外的公司其他员工的聘用、解聘、任用、免职、工作安排、薪酬待遇、考核奖惩。管理层和员工薪酬按董事会审议批准的《薪酬管理办法》执行。目标公司《薪酬管理办法》原则由目标公司参考青海路桥集团岗位基础工资标准，按照市场经营实际自行制定。</w:t>
      </w:r>
    </w:p>
    <w:p>
      <w:pPr>
        <w:adjustRightInd w:val="0"/>
        <w:snapToGrid w:val="0"/>
        <w:spacing w:before="156" w:beforeLines="50" w:line="360" w:lineRule="auto"/>
        <w:ind w:firstLine="472" w:firstLineChars="200"/>
        <w:rPr>
          <w:rFonts w:hint="eastAsia" w:ascii="宋体" w:hAnsi="宋体"/>
          <w:spacing w:val="-2"/>
          <w:sz w:val="24"/>
          <w:lang w:val="en-US" w:eastAsia="zh-CN"/>
        </w:rPr>
      </w:pPr>
      <w:r>
        <w:rPr>
          <w:rFonts w:hint="eastAsia" w:ascii="宋体" w:hAnsi="宋体"/>
          <w:spacing w:val="-2"/>
          <w:sz w:val="24"/>
          <w:lang w:val="en-US" w:eastAsia="zh-CN"/>
        </w:rPr>
        <w:t>8.3.4坚持党的领导、加强党的建设。党建进章程，把党的领导融入公司治理各环节。根据实际情况，落实国有相对控股混合所有制企业党组织融入法人治理体系、经营管理活动中的方式，推行党组织班子与经营管理层的双向进入、交叉任职，明确党组织的定位及发挥作用的途径、方法，打造具有特色的党建品牌。</w:t>
      </w:r>
    </w:p>
    <w:p>
      <w:pPr>
        <w:spacing w:line="660" w:lineRule="exact"/>
        <w:ind w:firstLine="472" w:firstLineChars="200"/>
        <w:rPr>
          <w:rFonts w:hint="eastAsia" w:ascii="宋体" w:hAnsi="宋体"/>
          <w:spacing w:val="-2"/>
          <w:sz w:val="24"/>
          <w:lang w:val="en-US" w:eastAsia="zh-CN"/>
        </w:rPr>
      </w:pPr>
      <w:r>
        <w:rPr>
          <w:rFonts w:hint="eastAsia" w:ascii="宋体" w:hAnsi="宋体"/>
          <w:spacing w:val="-2"/>
          <w:sz w:val="24"/>
          <w:lang w:val="en-US" w:eastAsia="zh-CN"/>
        </w:rPr>
        <w:t>8.3.5甲方为目标公司第一大股东，</w:t>
      </w:r>
      <w:r>
        <w:rPr>
          <w:rFonts w:hint="eastAsia" w:ascii="宋体" w:hAnsi="宋体"/>
          <w:color w:val="C00000"/>
          <w:spacing w:val="-2"/>
          <w:sz w:val="24"/>
          <w:lang w:val="en-US" w:eastAsia="zh-CN"/>
        </w:rPr>
        <w:t>财务负责人由甲方委派任命，</w:t>
      </w:r>
      <w:r>
        <w:rPr>
          <w:rFonts w:hint="eastAsia" w:ascii="宋体" w:hAnsi="宋体"/>
          <w:color w:val="C00000"/>
          <w:spacing w:val="-2"/>
          <w:sz w:val="24"/>
          <w:lang w:val="en-US" w:eastAsia="zh-CN"/>
        </w:rPr>
        <w:t>财务在甲方（</w:t>
      </w:r>
      <w:r>
        <w:rPr>
          <w:rFonts w:hint="eastAsia" w:ascii="宋体" w:hAnsi="宋体"/>
          <w:b w:val="0"/>
          <w:bCs/>
          <w:color w:val="C00000"/>
        </w:rPr>
        <w:t>青海路桥建设股份有限公司</w:t>
      </w:r>
      <w:r>
        <w:rPr>
          <w:rFonts w:hint="eastAsia" w:ascii="宋体" w:hAnsi="宋体"/>
          <w:b w:val="0"/>
          <w:bCs/>
          <w:color w:val="C00000"/>
          <w:lang w:eastAsia="zh-CN"/>
        </w:rPr>
        <w:t>）</w:t>
      </w:r>
      <w:r>
        <w:rPr>
          <w:rFonts w:hint="eastAsia" w:ascii="宋体" w:hAnsi="宋体"/>
          <w:color w:val="C00000"/>
          <w:spacing w:val="-2"/>
          <w:sz w:val="24"/>
          <w:lang w:val="en-US" w:eastAsia="zh-CN"/>
        </w:rPr>
        <w:t>并表</w:t>
      </w:r>
      <w:r>
        <w:rPr>
          <w:rFonts w:hint="eastAsia" w:ascii="宋体" w:hAnsi="宋体"/>
          <w:b w:val="0"/>
          <w:bCs/>
          <w:lang w:eastAsia="zh-CN"/>
        </w:rPr>
        <w:t>。</w:t>
      </w:r>
      <w:r>
        <w:rPr>
          <w:rFonts w:hint="eastAsia" w:asciiTheme="minorEastAsia" w:hAnsiTheme="minorEastAsia" w:eastAsiaTheme="minorEastAsia" w:cstheme="minorEastAsia"/>
          <w:sz w:val="24"/>
          <w:szCs w:val="24"/>
        </w:rPr>
        <w:t>按照《企业会计准则》由财务总监建立完善的财务核算制度和报表合并，并定期交由董事会及股东会审核。</w:t>
      </w:r>
    </w:p>
    <w:p>
      <w:pPr>
        <w:adjustRightInd w:val="0"/>
        <w:snapToGrid w:val="0"/>
        <w:spacing w:before="156" w:beforeLines="50" w:line="360" w:lineRule="auto"/>
        <w:ind w:firstLine="474" w:firstLineChars="200"/>
        <w:rPr>
          <w:rFonts w:ascii="宋体" w:hAnsi="宋体"/>
          <w:b/>
          <w:spacing w:val="-2"/>
          <w:sz w:val="24"/>
        </w:rPr>
      </w:pPr>
      <w:r>
        <w:rPr>
          <w:rFonts w:hint="eastAsia" w:ascii="宋体" w:hAnsi="宋体"/>
          <w:b/>
          <w:spacing w:val="-2"/>
          <w:sz w:val="24"/>
        </w:rPr>
        <w:t>第九条 与增资相关的其他事项</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9.1 评估基准日前目标公司债务清偿</w:t>
      </w:r>
    </w:p>
    <w:p>
      <w:pPr>
        <w:adjustRightInd w:val="0"/>
        <w:snapToGrid w:val="0"/>
        <w:spacing w:before="156" w:beforeLines="50" w:line="360" w:lineRule="auto"/>
        <w:ind w:firstLine="480" w:firstLineChars="200"/>
        <w:rPr>
          <w:rFonts w:ascii="宋体" w:hAnsi="宋体"/>
          <w:spacing w:val="-2"/>
          <w:sz w:val="24"/>
        </w:rPr>
      </w:pPr>
      <w:r>
        <w:rPr>
          <w:rFonts w:hint="eastAsia" w:ascii="宋体" w:hAnsi="宋体"/>
          <w:sz w:val="24"/>
        </w:rPr>
        <w:t>截至20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7</w:t>
      </w:r>
      <w:r>
        <w:rPr>
          <w:rFonts w:hint="eastAsia" w:ascii="宋体" w:hAnsi="宋体"/>
          <w:sz w:val="24"/>
        </w:rPr>
        <w:t>月31日，</w:t>
      </w:r>
      <w:r>
        <w:rPr>
          <w:rFonts w:hint="eastAsia" w:ascii="宋体" w:hAnsi="宋体"/>
          <w:color w:val="C00000"/>
          <w:spacing w:val="-2"/>
          <w:sz w:val="24"/>
        </w:rPr>
        <w:t>目标公司对外债务本息合计</w:t>
      </w:r>
      <w:r>
        <w:rPr>
          <w:rFonts w:hint="eastAsia" w:ascii="宋体" w:hAnsi="宋体"/>
          <w:color w:val="C00000"/>
          <w:spacing w:val="-2"/>
          <w:sz w:val="24"/>
          <w:lang w:val="en-US" w:eastAsia="zh-CN"/>
        </w:rPr>
        <w:t>按评估报告确定</w:t>
      </w:r>
      <w:r>
        <w:rPr>
          <w:rFonts w:hint="eastAsia" w:ascii="宋体" w:hAnsi="宋体"/>
          <w:spacing w:val="-2"/>
          <w:sz w:val="24"/>
        </w:rPr>
        <w:t>，该部分债务本息由目标公司在20</w:t>
      </w:r>
      <w:r>
        <w:rPr>
          <w:rFonts w:hint="eastAsia" w:ascii="宋体" w:hAnsi="宋体"/>
          <w:spacing w:val="-2"/>
          <w:sz w:val="24"/>
          <w:lang w:val="en-US" w:eastAsia="zh-CN"/>
        </w:rPr>
        <w:t>21</w:t>
      </w:r>
      <w:r>
        <w:rPr>
          <w:rFonts w:hint="eastAsia" w:ascii="宋体" w:hAnsi="宋体"/>
          <w:spacing w:val="-2"/>
          <w:sz w:val="24"/>
        </w:rPr>
        <w:t>年</w:t>
      </w:r>
      <w:r>
        <w:rPr>
          <w:rFonts w:hint="eastAsia" w:ascii="宋体" w:hAnsi="宋体"/>
          <w:spacing w:val="-2"/>
          <w:sz w:val="24"/>
          <w:lang w:val="en-US" w:eastAsia="zh-CN"/>
        </w:rPr>
        <w:t>10</w:t>
      </w:r>
      <w:r>
        <w:rPr>
          <w:rFonts w:hint="eastAsia" w:ascii="宋体" w:hAnsi="宋体"/>
          <w:spacing w:val="-2"/>
          <w:sz w:val="24"/>
        </w:rPr>
        <w:t>月30日前分期偿还，所需资金由甲方负责筹措。</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9.2目标公司今后因经营需要进行增资时，甲、乙</w:t>
      </w:r>
      <w:r>
        <w:rPr>
          <w:rFonts w:hint="eastAsia" w:ascii="宋体" w:hAnsi="宋体"/>
          <w:spacing w:val="-2"/>
          <w:sz w:val="24"/>
          <w:lang w:eastAsia="zh-CN"/>
        </w:rPr>
        <w:t>、</w:t>
      </w:r>
      <w:r>
        <w:rPr>
          <w:rFonts w:hint="eastAsia" w:ascii="宋体" w:hAnsi="宋体"/>
          <w:spacing w:val="-2"/>
          <w:sz w:val="24"/>
          <w:lang w:val="en-US" w:eastAsia="zh-CN"/>
        </w:rPr>
        <w:t>丙、丁各</w:t>
      </w:r>
      <w:r>
        <w:rPr>
          <w:rFonts w:hint="eastAsia" w:ascii="宋体" w:hAnsi="宋体"/>
          <w:spacing w:val="-2"/>
          <w:sz w:val="24"/>
        </w:rPr>
        <w:t>方应当同比例认缴出资认购。</w:t>
      </w:r>
      <w:r>
        <w:rPr>
          <w:rFonts w:hint="eastAsia" w:ascii="宋体" w:hAnsi="宋体"/>
          <w:color w:val="C00000"/>
          <w:spacing w:val="-2"/>
          <w:sz w:val="24"/>
          <w:lang w:val="en-US" w:eastAsia="zh-CN"/>
        </w:rPr>
        <w:t>目标公司减资，减资后的注册资本不得少于所有实际出资。</w:t>
      </w:r>
    </w:p>
    <w:p>
      <w:pPr>
        <w:adjustRightInd w:val="0"/>
        <w:snapToGrid w:val="0"/>
        <w:spacing w:before="156" w:beforeLines="50" w:line="360" w:lineRule="auto"/>
        <w:ind w:firstLine="472" w:firstLineChars="200"/>
        <w:rPr>
          <w:rFonts w:ascii="宋体" w:hAnsi="宋体"/>
          <w:spacing w:val="-2"/>
          <w:sz w:val="24"/>
        </w:rPr>
      </w:pPr>
      <w:r>
        <w:rPr>
          <w:rFonts w:hint="eastAsia" w:ascii="宋体" w:hAnsi="宋体"/>
          <w:spacing w:val="-2"/>
          <w:sz w:val="24"/>
        </w:rPr>
        <w:t>9.3本次增资完成后，甲方（</w:t>
      </w:r>
      <w:r>
        <w:rPr>
          <w:rFonts w:hint="eastAsia" w:ascii="宋体" w:hAnsi="宋体"/>
          <w:b w:val="0"/>
          <w:bCs/>
        </w:rPr>
        <w:t>青海路桥建设股份有限公司</w:t>
      </w:r>
      <w:r>
        <w:rPr>
          <w:rFonts w:hint="eastAsia" w:ascii="宋体" w:hAnsi="宋体"/>
          <w:spacing w:val="-2"/>
          <w:sz w:val="24"/>
        </w:rPr>
        <w:t>）拟对外转让所持目标公司部分或全部股权的，应当</w:t>
      </w:r>
      <w:r>
        <w:rPr>
          <w:rFonts w:hint="eastAsia" w:ascii="宋体" w:hAnsi="宋体"/>
          <w:spacing w:val="-2"/>
          <w:sz w:val="24"/>
          <w:lang w:val="en-US" w:eastAsia="zh-CN"/>
        </w:rPr>
        <w:t>首先</w:t>
      </w:r>
      <w:r>
        <w:rPr>
          <w:rFonts w:hint="eastAsia" w:ascii="宋体" w:hAnsi="宋体"/>
          <w:spacing w:val="-2"/>
          <w:sz w:val="24"/>
        </w:rPr>
        <w:t>向乙</w:t>
      </w:r>
      <w:r>
        <w:rPr>
          <w:rFonts w:hint="eastAsia" w:ascii="宋体" w:hAnsi="宋体"/>
          <w:spacing w:val="-2"/>
          <w:sz w:val="24"/>
          <w:lang w:eastAsia="zh-CN"/>
        </w:rPr>
        <w:t>、</w:t>
      </w:r>
      <w:r>
        <w:rPr>
          <w:rFonts w:hint="eastAsia" w:ascii="宋体" w:hAnsi="宋体"/>
          <w:spacing w:val="-2"/>
          <w:sz w:val="24"/>
          <w:lang w:val="en-US" w:eastAsia="zh-CN"/>
        </w:rPr>
        <w:t>丙、丁</w:t>
      </w:r>
      <w:r>
        <w:rPr>
          <w:rFonts w:hint="eastAsia" w:ascii="宋体" w:hAnsi="宋体"/>
          <w:spacing w:val="-2"/>
          <w:sz w:val="24"/>
        </w:rPr>
        <w:t>方转让，在未经乙</w:t>
      </w:r>
      <w:r>
        <w:rPr>
          <w:rFonts w:hint="eastAsia" w:ascii="宋体" w:hAnsi="宋体"/>
          <w:spacing w:val="-2"/>
          <w:sz w:val="24"/>
          <w:lang w:eastAsia="zh-CN"/>
        </w:rPr>
        <w:t>、</w:t>
      </w:r>
      <w:r>
        <w:rPr>
          <w:rFonts w:hint="eastAsia" w:ascii="宋体" w:hAnsi="宋体"/>
          <w:spacing w:val="-2"/>
          <w:sz w:val="24"/>
          <w:lang w:val="en-US" w:eastAsia="zh-CN"/>
        </w:rPr>
        <w:t>丙、丁</w:t>
      </w:r>
      <w:r>
        <w:rPr>
          <w:rFonts w:hint="eastAsia" w:ascii="宋体" w:hAnsi="宋体"/>
          <w:spacing w:val="-2"/>
          <w:sz w:val="24"/>
        </w:rPr>
        <w:t>方书面同意的情况下，不得向第三方转让。</w:t>
      </w:r>
    </w:p>
    <w:p>
      <w:pPr>
        <w:adjustRightInd w:val="0"/>
        <w:snapToGrid w:val="0"/>
        <w:spacing w:before="156" w:beforeLines="50" w:line="360" w:lineRule="auto"/>
        <w:ind w:firstLine="472" w:firstLineChars="200"/>
        <w:rPr>
          <w:rFonts w:hint="eastAsia" w:ascii="宋体" w:hAnsi="宋体"/>
          <w:spacing w:val="-2"/>
          <w:sz w:val="24"/>
        </w:rPr>
      </w:pPr>
      <w:r>
        <w:rPr>
          <w:rFonts w:hint="eastAsia" w:ascii="宋体" w:hAnsi="宋体"/>
          <w:spacing w:val="-2"/>
          <w:sz w:val="24"/>
        </w:rPr>
        <w:t>9.4本次增资完成后，</w:t>
      </w:r>
      <w:r>
        <w:rPr>
          <w:rFonts w:hint="eastAsia" w:ascii="宋体" w:hAnsi="宋体"/>
          <w:spacing w:val="-2"/>
          <w:sz w:val="24"/>
          <w:lang w:val="en-US" w:eastAsia="zh-CN"/>
        </w:rPr>
        <w:t>乙、丙、丁</w:t>
      </w:r>
      <w:r>
        <w:rPr>
          <w:rFonts w:hint="eastAsia" w:ascii="宋体" w:hAnsi="宋体"/>
          <w:spacing w:val="-2"/>
          <w:sz w:val="24"/>
        </w:rPr>
        <w:t>方（</w:t>
      </w:r>
      <w:r>
        <w:rPr>
          <w:rFonts w:hint="eastAsia" w:ascii="宋体" w:hAnsi="宋体"/>
          <w:spacing w:val="-2"/>
          <w:sz w:val="24"/>
          <w:lang w:val="en-US" w:eastAsia="zh-CN"/>
        </w:rPr>
        <w:t xml:space="preserve">   </w:t>
      </w:r>
      <w:r>
        <w:rPr>
          <w:rFonts w:hint="eastAsia" w:ascii="宋体" w:hAnsi="宋体"/>
          <w:spacing w:val="-2"/>
          <w:sz w:val="24"/>
        </w:rPr>
        <w:t>）拟对外转让所持目标公司部分或全部股权的，应当</w:t>
      </w:r>
      <w:r>
        <w:rPr>
          <w:rFonts w:hint="eastAsia" w:ascii="宋体" w:hAnsi="宋体"/>
          <w:spacing w:val="-2"/>
          <w:sz w:val="24"/>
          <w:lang w:val="en-US" w:eastAsia="zh-CN"/>
        </w:rPr>
        <w:t>首先</w:t>
      </w:r>
      <w:r>
        <w:rPr>
          <w:rFonts w:hint="eastAsia" w:ascii="宋体" w:hAnsi="宋体"/>
          <w:spacing w:val="-2"/>
          <w:sz w:val="24"/>
        </w:rPr>
        <w:t>向</w:t>
      </w:r>
      <w:r>
        <w:rPr>
          <w:rFonts w:hint="eastAsia" w:ascii="宋体" w:hAnsi="宋体"/>
          <w:spacing w:val="-2"/>
          <w:sz w:val="24"/>
          <w:lang w:val="en-US" w:eastAsia="zh-CN"/>
        </w:rPr>
        <w:t>甲</w:t>
      </w:r>
      <w:r>
        <w:rPr>
          <w:rFonts w:hint="eastAsia" w:ascii="宋体" w:hAnsi="宋体"/>
          <w:spacing w:val="-2"/>
          <w:sz w:val="24"/>
        </w:rPr>
        <w:t>方转让，在未经</w:t>
      </w:r>
      <w:r>
        <w:rPr>
          <w:rFonts w:hint="eastAsia" w:ascii="宋体" w:hAnsi="宋体"/>
          <w:spacing w:val="-2"/>
          <w:sz w:val="24"/>
          <w:lang w:val="en-US" w:eastAsia="zh-CN"/>
        </w:rPr>
        <w:t>甲</w:t>
      </w:r>
      <w:r>
        <w:rPr>
          <w:rFonts w:hint="eastAsia" w:ascii="宋体" w:hAnsi="宋体"/>
          <w:spacing w:val="-2"/>
          <w:sz w:val="24"/>
        </w:rPr>
        <w:t>方书面同意的情况下，不得向第三方转让。</w:t>
      </w:r>
    </w:p>
    <w:p>
      <w:pPr>
        <w:adjustRightInd w:val="0"/>
        <w:snapToGrid w:val="0"/>
        <w:spacing w:before="156" w:beforeLines="50" w:line="360" w:lineRule="auto"/>
        <w:ind w:firstLine="472" w:firstLineChars="200"/>
        <w:rPr>
          <w:rFonts w:hint="eastAsia" w:ascii="宋体" w:hAnsi="宋体"/>
          <w:spacing w:val="-2"/>
          <w:sz w:val="24"/>
          <w:lang w:val="en-US" w:eastAsia="zh-CN"/>
        </w:rPr>
      </w:pPr>
      <w:r>
        <w:rPr>
          <w:rFonts w:hint="eastAsia" w:ascii="宋体" w:hAnsi="宋体"/>
          <w:spacing w:val="-2"/>
          <w:sz w:val="24"/>
          <w:lang w:val="en-US" w:eastAsia="zh-CN"/>
        </w:rPr>
        <w:t>9.5</w:t>
      </w:r>
      <w:r>
        <w:rPr>
          <w:rFonts w:hint="eastAsia" w:ascii="宋体" w:hAnsi="宋体"/>
          <w:color w:val="C00000"/>
          <w:spacing w:val="-2"/>
          <w:sz w:val="24"/>
          <w:lang w:val="en-US" w:eastAsia="zh-CN"/>
        </w:rPr>
        <w:t>增资扩股投资人不承担投资之前的各项义务。只对增资扩股后的经营成果负责，时间从股权协议签订并完成工商登记之日起计算。</w:t>
      </w:r>
    </w:p>
    <w:p>
      <w:pPr>
        <w:adjustRightInd w:val="0"/>
        <w:snapToGrid w:val="0"/>
        <w:spacing w:before="156" w:beforeLines="50" w:line="360" w:lineRule="auto"/>
        <w:ind w:firstLine="482" w:firstLineChars="200"/>
        <w:rPr>
          <w:rFonts w:ascii="宋体" w:hAnsi="宋体"/>
          <w:b/>
          <w:sz w:val="24"/>
        </w:rPr>
      </w:pPr>
      <w:r>
        <w:rPr>
          <w:rFonts w:hint="eastAsia" w:ascii="宋体" w:hAnsi="宋体"/>
          <w:b/>
          <w:sz w:val="24"/>
        </w:rPr>
        <w:t>第十条  陈述和保证</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10.1本协议各方在此作出如下陈述和保证：</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10.1.1具备签署本协议的主体资格，有能力签订和履行本协议；</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10.1.2签订和履行本协议不违反各自公司章程的任何规定，不违反任何已经签订的合同、协议的约定，不违反任何生效判决，不违反任何政府机关的政策、规定。</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10.2甲方向乙</w:t>
      </w:r>
      <w:r>
        <w:rPr>
          <w:rFonts w:hint="eastAsia" w:ascii="宋体" w:hAnsi="宋体"/>
          <w:lang w:eastAsia="zh-CN"/>
        </w:rPr>
        <w:t>、</w:t>
      </w:r>
      <w:r>
        <w:rPr>
          <w:rFonts w:hint="eastAsia" w:ascii="宋体" w:hAnsi="宋体"/>
          <w:lang w:val="en-US" w:eastAsia="zh-CN"/>
        </w:rPr>
        <w:t>丙、丁</w:t>
      </w:r>
      <w:r>
        <w:rPr>
          <w:rFonts w:hint="eastAsia" w:ascii="宋体" w:hAnsi="宋体"/>
        </w:rPr>
        <w:t>方作出如下陈述和保证：</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10.2.1</w:t>
      </w:r>
      <w:r>
        <w:rPr>
          <w:rFonts w:hint="eastAsia" w:ascii="宋体" w:hAnsi="宋体"/>
          <w:lang w:val="en-US" w:eastAsia="zh-CN"/>
        </w:rPr>
        <w:t>甲</w:t>
      </w:r>
      <w:r>
        <w:rPr>
          <w:rFonts w:hint="eastAsia" w:ascii="宋体" w:hAnsi="宋体"/>
        </w:rPr>
        <w:t>方系目标公司的合法股东，其所拥有的目标公司的股权是真实、完整、无任何法律瑕疵的；该等股权未设定任何担保物权，亦不存在其他任何权利限制（包括但不限于担保、诉讼、仲裁、权属争议、权利主张等）。</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10.2.2目标公司作为</w:t>
      </w:r>
      <w:r>
        <w:rPr>
          <w:rFonts w:hint="eastAsia" w:ascii="宋体" w:hAnsi="宋体"/>
          <w:lang w:val="en-US" w:eastAsia="zh-CN"/>
        </w:rPr>
        <w:t>甲</w:t>
      </w:r>
      <w:r>
        <w:rPr>
          <w:rFonts w:hint="eastAsia" w:ascii="宋体" w:hAnsi="宋体"/>
        </w:rPr>
        <w:t>方</w:t>
      </w:r>
      <w:r>
        <w:rPr>
          <w:rFonts w:hint="eastAsia" w:ascii="宋体" w:hAnsi="宋体"/>
          <w:lang w:val="en-US" w:eastAsia="zh-CN"/>
        </w:rPr>
        <w:t>控股</w:t>
      </w:r>
      <w:r>
        <w:rPr>
          <w:rFonts w:hint="eastAsia" w:ascii="宋体" w:hAnsi="宋体"/>
        </w:rPr>
        <w:t>子公司，系依法设立并具有独立法人地位的法人实体，具有独立享有民事权利、履行民事义务、承担法律责任的能力，且目标公司自依法注册登记之日到本协议签订之日期间一直为合法存续及合法经营之法人。</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10.2.3</w:t>
      </w:r>
      <w:r>
        <w:rPr>
          <w:rFonts w:hint="eastAsia" w:ascii="宋体" w:hAnsi="宋体"/>
          <w:lang w:val="en-US" w:eastAsia="zh-CN"/>
        </w:rPr>
        <w:t>甲</w:t>
      </w:r>
      <w:r>
        <w:rPr>
          <w:rFonts w:hint="eastAsia" w:ascii="宋体" w:hAnsi="宋体"/>
        </w:rPr>
        <w:t>方保证向甲方提供的有关目标公司生产、经营、财务状况以及所涉及的相应法律文件等相关材料完全、真实、有效。</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10.2.4</w:t>
      </w:r>
      <w:r>
        <w:rPr>
          <w:rFonts w:hint="eastAsia" w:ascii="宋体" w:hAnsi="宋体"/>
          <w:lang w:val="en-US" w:eastAsia="zh-CN"/>
        </w:rPr>
        <w:t>甲</w:t>
      </w:r>
      <w:r>
        <w:rPr>
          <w:rFonts w:hint="eastAsia" w:ascii="宋体" w:hAnsi="宋体"/>
        </w:rPr>
        <w:t>方将依本协议约定严格履行相应义务，并为目标公司依本协议的有关规定完成与增资有关的必要程序，提供帮助和必要的便利。</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10.2.5</w:t>
      </w:r>
      <w:r>
        <w:rPr>
          <w:rFonts w:hint="eastAsia" w:ascii="宋体" w:hAnsi="宋体"/>
          <w:lang w:val="en-US" w:eastAsia="zh-CN"/>
        </w:rPr>
        <w:t>甲</w:t>
      </w:r>
      <w:r>
        <w:rPr>
          <w:rFonts w:hint="eastAsia" w:ascii="宋体" w:hAnsi="宋体"/>
        </w:rPr>
        <w:t>方在签订本协议时完全了解目标公司的经营状况、财务状况、资产权属、债权、债务情况及目标公司所应对任何人（包括本协议的签约方，及其他任何自然人、法人、经济实体、政府机构等）所应尽之义务、责任等信息，上述各种情况已全部记载或体现于相关评估、审计报告及其他有关资料文件中。</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10.2.6</w:t>
      </w:r>
      <w:r>
        <w:rPr>
          <w:rFonts w:hint="eastAsia" w:ascii="宋体" w:hAnsi="宋体"/>
          <w:lang w:val="en-US" w:eastAsia="zh-CN"/>
        </w:rPr>
        <w:t>甲</w:t>
      </w:r>
      <w:r>
        <w:rPr>
          <w:rFonts w:hint="eastAsia" w:ascii="宋体" w:hAnsi="宋体"/>
        </w:rPr>
        <w:t>方接受并承担目标公司在完成本次增资股权交割之日前，目标公司对外所负担的但未向</w:t>
      </w:r>
      <w:r>
        <w:rPr>
          <w:rFonts w:hint="eastAsia" w:ascii="宋体" w:hAnsi="宋体"/>
          <w:lang w:val="en-US" w:eastAsia="zh-CN"/>
        </w:rPr>
        <w:t>乙、丙、丁</w:t>
      </w:r>
      <w:r>
        <w:rPr>
          <w:rFonts w:hint="eastAsia" w:ascii="宋体" w:hAnsi="宋体"/>
        </w:rPr>
        <w:t>方披露的其他债务、应缴或在征税费、应付工资、其他责任。</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10.2.7除已经向</w:t>
      </w:r>
      <w:r>
        <w:rPr>
          <w:rFonts w:hint="eastAsia" w:ascii="宋体" w:hAnsi="宋体"/>
          <w:lang w:val="en-US" w:eastAsia="zh-CN"/>
        </w:rPr>
        <w:t>乙、丙、丁</w:t>
      </w:r>
      <w:r>
        <w:rPr>
          <w:rFonts w:hint="eastAsia" w:ascii="宋体" w:hAnsi="宋体"/>
        </w:rPr>
        <w:t>方披露的情况外，</w:t>
      </w:r>
      <w:r>
        <w:rPr>
          <w:rFonts w:hint="eastAsia" w:ascii="宋体" w:hAnsi="宋体"/>
          <w:lang w:val="en-US" w:eastAsia="zh-CN"/>
        </w:rPr>
        <w:t>甲</w:t>
      </w:r>
      <w:r>
        <w:rPr>
          <w:rFonts w:hint="eastAsia" w:ascii="宋体" w:hAnsi="宋体"/>
        </w:rPr>
        <w:t>方确认并保证不存在任何已知的针对目标公司股权以及其资产的诉讼、仲裁、纠纷、行政程序。</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10.2.8</w:t>
      </w:r>
      <w:r>
        <w:rPr>
          <w:rFonts w:hint="eastAsia" w:ascii="宋体" w:hAnsi="宋体"/>
          <w:lang w:val="en-US" w:eastAsia="zh-CN"/>
        </w:rPr>
        <w:t>甲</w:t>
      </w:r>
      <w:r>
        <w:rPr>
          <w:rFonts w:hint="eastAsia" w:ascii="宋体" w:hAnsi="宋体"/>
        </w:rPr>
        <w:t>方确认并保证，自本协议签订至本次增资后股权交割完成之日，目标公司保持正常运营，并保持其正常生产经营状态，除正常经营外保证不发生：新负债、加速还款、重新对外贷款、豁免对外贷款、对外担保、分红分利、人为的灾害或事故、关键管理层人员的离职、出售资产、及损毁原始资料、档案等，对目标公司经营和财务有重大不利影响的情形。</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10.2.9</w:t>
      </w:r>
      <w:r>
        <w:rPr>
          <w:rFonts w:hint="eastAsia" w:ascii="宋体" w:hAnsi="宋体"/>
          <w:lang w:val="en-US" w:eastAsia="zh-CN"/>
        </w:rPr>
        <w:t>甲</w:t>
      </w:r>
      <w:r>
        <w:rPr>
          <w:rFonts w:hint="eastAsia" w:ascii="宋体" w:hAnsi="宋体"/>
        </w:rPr>
        <w:t>方在</w:t>
      </w:r>
      <w:r>
        <w:rPr>
          <w:rFonts w:hint="eastAsia" w:ascii="宋体" w:hAnsi="宋体"/>
          <w:color w:val="C00000"/>
        </w:rPr>
        <w:t>本协议生效后，</w:t>
      </w:r>
      <w:r>
        <w:rPr>
          <w:rFonts w:hint="eastAsia" w:ascii="宋体" w:hAnsi="宋体"/>
          <w:color w:val="C00000"/>
          <w:lang w:val="en-US" w:eastAsia="zh-CN"/>
        </w:rPr>
        <w:t>及时指派负责人，</w:t>
      </w:r>
      <w:r>
        <w:rPr>
          <w:rFonts w:hint="eastAsia" w:ascii="宋体" w:hAnsi="宋体"/>
          <w:color w:val="C00000"/>
        </w:rPr>
        <w:t>配合</w:t>
      </w:r>
      <w:r>
        <w:rPr>
          <w:rFonts w:hint="eastAsia" w:ascii="宋体" w:hAnsi="宋体"/>
          <w:color w:val="C00000"/>
          <w:lang w:val="en-US" w:eastAsia="zh-CN"/>
        </w:rPr>
        <w:t>乙、丙、丁</w:t>
      </w:r>
      <w:r>
        <w:rPr>
          <w:rFonts w:hint="eastAsia" w:ascii="宋体" w:hAnsi="宋体"/>
          <w:color w:val="C00000"/>
        </w:rPr>
        <w:t>方</w:t>
      </w:r>
      <w:r>
        <w:rPr>
          <w:rFonts w:hint="eastAsia" w:ascii="宋体" w:hAnsi="宋体"/>
          <w:color w:val="C00000"/>
          <w:lang w:val="en-US" w:eastAsia="zh-CN"/>
        </w:rPr>
        <w:t>及其委托的</w:t>
      </w:r>
      <w:r>
        <w:rPr>
          <w:rFonts w:hint="eastAsia" w:ascii="宋体" w:hAnsi="宋体"/>
          <w:color w:val="C00000"/>
        </w:rPr>
        <w:t>工作人员接管目标公司</w:t>
      </w:r>
      <w:r>
        <w:rPr>
          <w:rFonts w:hint="eastAsia" w:ascii="宋体" w:hAnsi="宋体"/>
          <w:color w:val="C00000"/>
          <w:lang w:val="en-US" w:eastAsia="zh-CN"/>
        </w:rPr>
        <w:t>开展过渡期</w:t>
      </w:r>
      <w:r>
        <w:rPr>
          <w:rFonts w:hint="eastAsia" w:ascii="宋体" w:hAnsi="宋体"/>
          <w:color w:val="C00000"/>
        </w:rPr>
        <w:t>经营</w:t>
      </w:r>
      <w:r>
        <w:rPr>
          <w:rFonts w:hint="eastAsia" w:ascii="宋体" w:hAnsi="宋体"/>
          <w:color w:val="C00000"/>
          <w:lang w:val="en-US" w:eastAsia="zh-CN"/>
        </w:rPr>
        <w:t>工作</w:t>
      </w:r>
      <w:r>
        <w:rPr>
          <w:rFonts w:hint="eastAsia" w:ascii="宋体" w:hAnsi="宋体"/>
          <w:color w:val="C00000"/>
          <w:lang w:eastAsia="zh-CN"/>
        </w:rPr>
        <w:t>，</w:t>
      </w:r>
      <w:r>
        <w:rPr>
          <w:rFonts w:hint="eastAsia" w:ascii="宋体" w:hAnsi="宋体"/>
          <w:color w:val="C00000"/>
          <w:lang w:val="en-US" w:eastAsia="zh-CN"/>
        </w:rPr>
        <w:t>共同组建董事会、经营层</w:t>
      </w:r>
      <w:r>
        <w:rPr>
          <w:rFonts w:hint="eastAsia" w:ascii="宋体" w:hAnsi="宋体"/>
          <w:lang w:val="en-US" w:eastAsia="zh-CN"/>
        </w:rPr>
        <w:t>。</w:t>
      </w:r>
      <w:r>
        <w:rPr>
          <w:rFonts w:hint="eastAsia" w:ascii="宋体" w:hAnsi="宋体"/>
        </w:rPr>
        <w:t>目标公司</w:t>
      </w:r>
      <w:r>
        <w:rPr>
          <w:rFonts w:hint="eastAsia" w:ascii="宋体" w:hAnsi="宋体"/>
          <w:lang w:val="en-US" w:eastAsia="zh-CN"/>
        </w:rPr>
        <w:t>现有生产经营管理人员（含目标公司正副职）身份不转换</w:t>
      </w:r>
      <w:r>
        <w:rPr>
          <w:rFonts w:hint="eastAsia" w:ascii="宋体" w:hAnsi="宋体"/>
        </w:rPr>
        <w:t>，</w:t>
      </w:r>
      <w:r>
        <w:rPr>
          <w:rFonts w:hint="eastAsia" w:ascii="宋体" w:hAnsi="宋体"/>
          <w:lang w:val="en-US" w:eastAsia="zh-CN"/>
        </w:rPr>
        <w:t>在改制期和改制后的经营期间，去留问题由职工自己决定。要求回甲方公司工作的人员由甲方负责安置。留用人员实行竞聘上岗，原职务一律由甲方或甲方上级公司（青海省公路桥梁工程集团有限公司）予以免职。通过竞聘的人员，按实际聘用职务、岗位重新签订聘用协议。目标公司职工基础工资、基本福利执行甲方的标准，绩效、奖金等由目标公司自行制定。实行计件制等工资发放办法的，按照目标公司制定的相关标准执行。</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10.2.10</w:t>
      </w:r>
      <w:r>
        <w:rPr>
          <w:rFonts w:hint="eastAsia" w:ascii="宋体" w:hAnsi="宋体"/>
          <w:lang w:val="en-US" w:eastAsia="zh-CN"/>
        </w:rPr>
        <w:t>甲</w:t>
      </w:r>
      <w:r>
        <w:rPr>
          <w:rFonts w:hint="eastAsia" w:ascii="宋体" w:hAnsi="宋体"/>
        </w:rPr>
        <w:t>方保证协助</w:t>
      </w:r>
      <w:r>
        <w:rPr>
          <w:rFonts w:hint="eastAsia" w:ascii="宋体" w:hAnsi="宋体"/>
          <w:lang w:val="en-US" w:eastAsia="zh-CN"/>
        </w:rPr>
        <w:t>乙、丙、丁</w:t>
      </w:r>
      <w:r>
        <w:rPr>
          <w:rFonts w:hint="eastAsia" w:ascii="宋体" w:hAnsi="宋体"/>
        </w:rPr>
        <w:t>方办理相关政府部门批准、许可、登记、备案等手续。</w:t>
      </w:r>
      <w:r>
        <w:rPr>
          <w:rFonts w:hint="eastAsia" w:ascii="宋体" w:hAnsi="宋体"/>
          <w:lang w:val="en-US" w:eastAsia="zh-CN"/>
        </w:rPr>
        <w:t>保证目标公司三年内现有检测资质证书人员总数不减少，确需发生人员变化时，甲方及时从其它公司给予调整补齐，以保障检测资质维护的基本要求，不足部分由目标公司组织招聘，招聘方案和招聘人数需报经甲方审批，审批同意后方可进行招聘工作。</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10.2.11自本协议签订之日至股权交割办理完毕之日，目标公司与任何第三方就开展业务及签订合同、协议等而进行洽商、谈判、签订备忘录、合同、协议，或出具任何担保书、保函等担保性文件，或其他可能引致目标公司对外承担责任的承诺、保证、单方确认等，均须经</w:t>
      </w:r>
      <w:r>
        <w:rPr>
          <w:rFonts w:hint="eastAsia" w:ascii="宋体" w:hAnsi="宋体"/>
          <w:lang w:val="en-US" w:eastAsia="zh-CN"/>
        </w:rPr>
        <w:t>乙、丙、丁</w:t>
      </w:r>
      <w:r>
        <w:rPr>
          <w:rFonts w:hint="eastAsia" w:ascii="宋体" w:hAnsi="宋体"/>
        </w:rPr>
        <w:t>方</w:t>
      </w:r>
      <w:r>
        <w:rPr>
          <w:rFonts w:hint="eastAsia" w:ascii="宋体" w:hAnsi="宋体"/>
          <w:lang w:val="en-US" w:eastAsia="zh-CN"/>
        </w:rPr>
        <w:t>或乙、丙、丁方的授权人</w:t>
      </w:r>
      <w:r>
        <w:rPr>
          <w:rFonts w:hint="eastAsia" w:ascii="宋体" w:hAnsi="宋体"/>
        </w:rPr>
        <w:t>书面确认后方可实施。</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第十一条  违约责任</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11.1 如</w:t>
      </w:r>
      <w:r>
        <w:rPr>
          <w:rFonts w:hint="eastAsia" w:ascii="宋体" w:hAnsi="宋体"/>
          <w:lang w:val="en-US" w:eastAsia="zh-CN"/>
        </w:rPr>
        <w:t>甲</w:t>
      </w:r>
      <w:r>
        <w:rPr>
          <w:rFonts w:hint="eastAsia" w:ascii="宋体" w:hAnsi="宋体"/>
        </w:rPr>
        <w:t>方及目标公司不履行本协议约定的义务，导致</w:t>
      </w:r>
      <w:r>
        <w:rPr>
          <w:rFonts w:hint="eastAsia" w:ascii="宋体" w:hAnsi="宋体"/>
          <w:lang w:val="en-US" w:eastAsia="zh-CN"/>
        </w:rPr>
        <w:t>乙、丙、丁</w:t>
      </w:r>
      <w:r>
        <w:rPr>
          <w:rFonts w:hint="eastAsia" w:ascii="宋体" w:hAnsi="宋体"/>
        </w:rPr>
        <w:t>方不能实现本协议订立之目的，</w:t>
      </w:r>
      <w:r>
        <w:rPr>
          <w:rFonts w:hint="eastAsia" w:ascii="宋体" w:hAnsi="宋体"/>
          <w:lang w:val="en-US" w:eastAsia="zh-CN"/>
        </w:rPr>
        <w:t>乙、丙、丁</w:t>
      </w:r>
      <w:r>
        <w:rPr>
          <w:rFonts w:hint="eastAsia" w:ascii="宋体" w:hAnsi="宋体"/>
        </w:rPr>
        <w:t>方有权解除本协议，</w:t>
      </w:r>
      <w:r>
        <w:rPr>
          <w:rFonts w:hint="eastAsia" w:ascii="宋体" w:hAnsi="宋体"/>
          <w:lang w:val="en-US" w:eastAsia="zh-CN"/>
        </w:rPr>
        <w:t>甲</w:t>
      </w:r>
      <w:r>
        <w:rPr>
          <w:rFonts w:hint="eastAsia" w:ascii="宋体" w:hAnsi="宋体"/>
        </w:rPr>
        <w:t>方及目标公司应向</w:t>
      </w:r>
      <w:r>
        <w:rPr>
          <w:rFonts w:hint="eastAsia" w:ascii="宋体" w:hAnsi="宋体"/>
          <w:lang w:val="en-US" w:eastAsia="zh-CN"/>
        </w:rPr>
        <w:t>乙、丙、丁</w:t>
      </w:r>
      <w:r>
        <w:rPr>
          <w:rFonts w:hint="eastAsia" w:ascii="宋体" w:hAnsi="宋体"/>
        </w:rPr>
        <w:t>方支付违约金50万元。</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11.2 若</w:t>
      </w:r>
      <w:r>
        <w:rPr>
          <w:rFonts w:hint="eastAsia" w:ascii="宋体" w:hAnsi="宋体"/>
          <w:lang w:val="en-US" w:eastAsia="zh-CN"/>
        </w:rPr>
        <w:t>乙、丙、丁</w:t>
      </w:r>
      <w:r>
        <w:rPr>
          <w:rFonts w:hint="eastAsia" w:ascii="宋体" w:hAnsi="宋体"/>
        </w:rPr>
        <w:t>方在履行本协议的任一阶段内发现目标公司的实际情况与评估、审计报告及其他有关资料文件中的记载明显不相符，或任何债权、债务或资产状况隐瞒而未在该等资料中体现，或有关义务、责任未予以披露，则</w:t>
      </w:r>
      <w:r>
        <w:rPr>
          <w:rFonts w:hint="eastAsia" w:ascii="宋体" w:hAnsi="宋体"/>
          <w:lang w:val="en-US" w:eastAsia="zh-CN"/>
        </w:rPr>
        <w:t>乙、丙、丁</w:t>
      </w:r>
      <w:r>
        <w:rPr>
          <w:rFonts w:hint="eastAsia" w:ascii="宋体" w:hAnsi="宋体"/>
        </w:rPr>
        <w:t>方有权要求</w:t>
      </w:r>
      <w:r>
        <w:rPr>
          <w:rFonts w:hint="eastAsia" w:ascii="宋体" w:hAnsi="宋体"/>
          <w:lang w:val="en-US" w:eastAsia="zh-CN"/>
        </w:rPr>
        <w:t>甲</w:t>
      </w:r>
      <w:r>
        <w:rPr>
          <w:rFonts w:hint="eastAsia" w:ascii="宋体" w:hAnsi="宋体"/>
        </w:rPr>
        <w:t>方就目标公司债务及其他清偿责任承担连带清偿责任，给</w:t>
      </w:r>
      <w:r>
        <w:rPr>
          <w:rFonts w:hint="eastAsia" w:ascii="宋体" w:hAnsi="宋体"/>
          <w:lang w:val="en-US" w:eastAsia="zh-CN"/>
        </w:rPr>
        <w:t>乙、丙、丁</w:t>
      </w:r>
      <w:r>
        <w:rPr>
          <w:rFonts w:hint="eastAsia" w:ascii="宋体" w:hAnsi="宋体"/>
        </w:rPr>
        <w:t>方造成损失的，</w:t>
      </w:r>
      <w:r>
        <w:rPr>
          <w:rFonts w:hint="eastAsia" w:ascii="宋体" w:hAnsi="宋体"/>
          <w:lang w:val="en-US" w:eastAsia="zh-CN"/>
        </w:rPr>
        <w:t>甲</w:t>
      </w:r>
      <w:r>
        <w:rPr>
          <w:rFonts w:hint="eastAsia" w:ascii="宋体" w:hAnsi="宋体"/>
        </w:rPr>
        <w:t>方应当赔偿损失。</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 xml:space="preserve">11.3 </w:t>
      </w:r>
      <w:r>
        <w:rPr>
          <w:rFonts w:hint="eastAsia" w:ascii="宋体" w:hAnsi="宋体"/>
          <w:lang w:val="en-US" w:eastAsia="zh-CN"/>
        </w:rPr>
        <w:t>甲</w:t>
      </w:r>
      <w:r>
        <w:rPr>
          <w:rFonts w:hint="eastAsia" w:ascii="宋体" w:hAnsi="宋体"/>
        </w:rPr>
        <w:t>方及目标公司未按照本协议约定办理本次增资的工商变更登记手续的，每逾期一日，按</w:t>
      </w:r>
      <w:r>
        <w:rPr>
          <w:rFonts w:hint="eastAsia" w:ascii="宋体" w:hAnsi="宋体"/>
          <w:lang w:val="en-US" w:eastAsia="zh-CN"/>
        </w:rPr>
        <w:t>乙、丙、丁</w:t>
      </w:r>
      <w:r>
        <w:rPr>
          <w:rFonts w:hint="eastAsia" w:ascii="宋体" w:hAnsi="宋体"/>
        </w:rPr>
        <w:t>方已支付增资认缴价款的5‰向甲方支付违约金。</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11.4</w:t>
      </w:r>
      <w:r>
        <w:rPr>
          <w:rFonts w:hint="eastAsia" w:ascii="宋体" w:hAnsi="宋体"/>
          <w:lang w:val="en-US" w:eastAsia="zh-CN"/>
        </w:rPr>
        <w:t>乙、丙、丁</w:t>
      </w:r>
      <w:r>
        <w:rPr>
          <w:rFonts w:hint="eastAsia" w:ascii="宋体" w:hAnsi="宋体"/>
        </w:rPr>
        <w:t>方未按照本协议约定支付增资认缴价款的，每逾期一日按</w:t>
      </w:r>
      <w:r>
        <w:rPr>
          <w:rFonts w:hint="eastAsia" w:ascii="宋体" w:hAnsi="宋体"/>
          <w:lang w:val="en-US" w:eastAsia="zh-CN"/>
        </w:rPr>
        <w:t>乙、丙、丁</w:t>
      </w:r>
      <w:r>
        <w:rPr>
          <w:rFonts w:hint="eastAsia" w:ascii="宋体" w:hAnsi="宋体"/>
        </w:rPr>
        <w:t>方逾期支付价款的5‰向</w:t>
      </w:r>
      <w:r>
        <w:rPr>
          <w:rFonts w:hint="eastAsia" w:ascii="宋体" w:hAnsi="宋体"/>
          <w:lang w:val="en-US" w:eastAsia="zh-CN"/>
        </w:rPr>
        <w:t>甲</w:t>
      </w:r>
      <w:r>
        <w:rPr>
          <w:rFonts w:hint="eastAsia" w:ascii="宋体" w:hAnsi="宋体"/>
        </w:rPr>
        <w:t>方支付违约金。</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rPr>
      </w:pPr>
      <w:r>
        <w:rPr>
          <w:rFonts w:hint="eastAsia" w:ascii="宋体" w:hAnsi="宋体"/>
          <w:b/>
        </w:rPr>
        <w:t>第十二条  保密</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12.1本协议项下任意一方均负有保密义务，未经本协议各方书面同意，除非法律法规规定、有权机关要求或为履行本协议之必要，不得向本协议以外的任意第三人披露因签订、履行本协议而获取的一切材料、以及本协议的内容和履行情况。</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12.2本协议双方在此特别明确，本协议约定的保密责任不适用于双方将上述资料和信息披露与为本协议和与本协议有关的法律文件的订立和执行而各自聘请的专业人士，包括但不限于财务、法律、评估人员等。</w:t>
      </w:r>
    </w:p>
    <w:p>
      <w:pPr>
        <w:pStyle w:val="8"/>
        <w:tabs>
          <w:tab w:val="left" w:pos="10980"/>
        </w:tabs>
        <w:snapToGrid w:val="0"/>
        <w:spacing w:before="156" w:beforeLines="50" w:beforeAutospacing="0" w:after="0" w:afterAutospacing="0" w:line="360" w:lineRule="auto"/>
        <w:ind w:firstLine="482" w:firstLineChars="200"/>
        <w:jc w:val="both"/>
        <w:rPr>
          <w:b/>
        </w:rPr>
      </w:pPr>
      <w:r>
        <w:rPr>
          <w:rFonts w:hint="eastAsia"/>
          <w:b/>
        </w:rPr>
        <w:t>第十三条  争议解决</w:t>
      </w:r>
    </w:p>
    <w:p>
      <w:pPr>
        <w:pStyle w:val="8"/>
        <w:tabs>
          <w:tab w:val="left" w:pos="10980"/>
        </w:tabs>
        <w:snapToGrid w:val="0"/>
        <w:spacing w:before="156" w:beforeLines="50" w:beforeAutospacing="0" w:after="0" w:afterAutospacing="0" w:line="360" w:lineRule="auto"/>
        <w:ind w:firstLine="480" w:firstLineChars="200"/>
        <w:jc w:val="both"/>
      </w:pPr>
      <w:r>
        <w:t>因履行本协议发生争议的，</w:t>
      </w:r>
      <w:r>
        <w:rPr>
          <w:rFonts w:hint="eastAsia"/>
        </w:rPr>
        <w:t>首先由甲乙双方</w:t>
      </w:r>
      <w:r>
        <w:t>协商解决，协商不成的，</w:t>
      </w:r>
      <w:r>
        <w:rPr>
          <w:rFonts w:hint="eastAsia"/>
        </w:rPr>
        <w:t>双方均有权向甲方住所地有管辖权的人民法院提起诉讼。</w:t>
      </w:r>
    </w:p>
    <w:p>
      <w:pPr>
        <w:pStyle w:val="8"/>
        <w:tabs>
          <w:tab w:val="left" w:pos="10980"/>
        </w:tabs>
        <w:snapToGrid w:val="0"/>
        <w:spacing w:before="156" w:beforeLines="50" w:beforeAutospacing="0" w:after="0" w:afterAutospacing="0" w:line="360" w:lineRule="auto"/>
        <w:ind w:firstLine="482" w:firstLineChars="200"/>
        <w:jc w:val="both"/>
        <w:rPr>
          <w:b/>
        </w:rPr>
      </w:pPr>
      <w:r>
        <w:rPr>
          <w:rFonts w:hint="eastAsia"/>
          <w:b/>
        </w:rPr>
        <w:t>第十四条</w:t>
      </w:r>
      <w:r>
        <w:rPr>
          <w:b/>
        </w:rPr>
        <w:t xml:space="preserve">  </w:t>
      </w:r>
      <w:r>
        <w:rPr>
          <w:rFonts w:hint="eastAsia"/>
          <w:b/>
        </w:rPr>
        <w:t>协议生效</w:t>
      </w:r>
      <w:r>
        <w:rPr>
          <w:b/>
        </w:rPr>
        <w:t>与变更</w:t>
      </w:r>
    </w:p>
    <w:p>
      <w:pPr>
        <w:spacing w:before="156" w:beforeLines="50" w:line="360" w:lineRule="auto"/>
        <w:ind w:firstLine="480" w:firstLineChars="200"/>
        <w:rPr>
          <w:rFonts w:ascii="宋体" w:hAnsi="宋体"/>
          <w:bCs/>
          <w:sz w:val="24"/>
        </w:rPr>
      </w:pPr>
      <w:r>
        <w:rPr>
          <w:rFonts w:hint="eastAsia" w:ascii="宋体" w:hAnsi="宋体"/>
          <w:bCs/>
          <w:sz w:val="24"/>
        </w:rPr>
        <w:t xml:space="preserve">14.1 </w:t>
      </w:r>
      <w:r>
        <w:rPr>
          <w:rFonts w:hint="eastAsia" w:ascii="宋体" w:hAnsi="宋体"/>
          <w:sz w:val="24"/>
        </w:rPr>
        <w:t>本协议自各方签字或盖章之日起成立，自</w:t>
      </w:r>
      <w:r>
        <w:rPr>
          <w:rFonts w:hint="eastAsia" w:ascii="宋体" w:hAnsi="宋体"/>
          <w:sz w:val="24"/>
          <w:lang w:val="en-US" w:eastAsia="zh-CN"/>
        </w:rPr>
        <w:t>实际出资到位后生效。</w:t>
      </w:r>
    </w:p>
    <w:p>
      <w:pPr>
        <w:spacing w:before="156" w:beforeLines="50" w:line="360" w:lineRule="auto"/>
        <w:ind w:firstLine="480" w:firstLineChars="200"/>
        <w:outlineLvl w:val="0"/>
        <w:rPr>
          <w:rFonts w:ascii="宋体" w:hAnsi="宋体"/>
          <w:spacing w:val="10"/>
          <w:sz w:val="24"/>
        </w:rPr>
      </w:pPr>
      <w:r>
        <w:rPr>
          <w:rFonts w:hint="eastAsia" w:ascii="宋体" w:hAnsi="宋体"/>
          <w:bCs/>
          <w:sz w:val="24"/>
        </w:rPr>
        <w:t>14</w:t>
      </w:r>
      <w:r>
        <w:rPr>
          <w:rFonts w:ascii="宋体" w:hAnsi="宋体"/>
          <w:bCs/>
          <w:sz w:val="24"/>
        </w:rPr>
        <w:t xml:space="preserve">.2 </w:t>
      </w:r>
      <w:r>
        <w:rPr>
          <w:rFonts w:hint="eastAsia" w:ascii="宋体" w:hAnsi="宋体"/>
          <w:spacing w:val="10"/>
          <w:sz w:val="24"/>
        </w:rPr>
        <w:t>本协议的任何修改与变更均应采用书面形式。</w:t>
      </w:r>
    </w:p>
    <w:p>
      <w:pPr>
        <w:numPr>
          <w:ilvl w:val="0"/>
          <w:numId w:val="1"/>
        </w:numPr>
        <w:spacing w:before="156" w:beforeLines="50" w:line="360" w:lineRule="auto"/>
        <w:ind w:firstLine="482" w:firstLineChars="200"/>
        <w:outlineLvl w:val="0"/>
        <w:rPr>
          <w:rFonts w:hint="eastAsia"/>
          <w:b/>
          <w:sz w:val="24"/>
        </w:rPr>
      </w:pPr>
      <w:r>
        <w:rPr>
          <w:rFonts w:hint="eastAsia"/>
          <w:b/>
          <w:sz w:val="24"/>
        </w:rPr>
        <w:t xml:space="preserve"> 其他</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before="156" w:beforeLines="50"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宋体" w:hAnsi="宋体" w:eastAsia="宋体"/>
          <w:sz w:val="24"/>
          <w:szCs w:val="24"/>
          <w:lang w:val="en-US" w:eastAsia="zh-CN"/>
        </w:rPr>
        <w:t>15.1</w:t>
      </w:r>
      <w:r>
        <w:rPr>
          <w:rFonts w:hint="eastAsia" w:ascii="宋体" w:hAnsi="宋体" w:eastAsia="宋体"/>
          <w:color w:val="C00000"/>
          <w:sz w:val="24"/>
          <w:szCs w:val="24"/>
          <w:lang w:val="en-US" w:eastAsia="zh-CN"/>
        </w:rPr>
        <w:t>甲方将目标公司现使用的未纳入目标公司资产的经营场地及房屋</w:t>
      </w:r>
      <w:r>
        <w:rPr>
          <w:rFonts w:hint="eastAsia" w:asciiTheme="minorEastAsia" w:hAnsiTheme="minorEastAsia" w:eastAsiaTheme="minorEastAsia" w:cstheme="minorEastAsia"/>
          <w:color w:val="C00000"/>
          <w:sz w:val="24"/>
          <w:szCs w:val="24"/>
          <w:lang w:val="en-US" w:eastAsia="zh-CN"/>
        </w:rPr>
        <w:t>以</w:t>
      </w:r>
      <w:r>
        <w:rPr>
          <w:rFonts w:hint="eastAsia" w:asciiTheme="minorEastAsia" w:hAnsiTheme="minorEastAsia" w:eastAsiaTheme="minorEastAsia" w:cstheme="minorEastAsia"/>
          <w:color w:val="C00000"/>
          <w:sz w:val="24"/>
          <w:szCs w:val="24"/>
        </w:rPr>
        <w:t>租赁</w:t>
      </w:r>
      <w:r>
        <w:rPr>
          <w:rFonts w:hint="eastAsia" w:asciiTheme="minorEastAsia" w:hAnsiTheme="minorEastAsia" w:eastAsiaTheme="minorEastAsia" w:cstheme="minorEastAsia"/>
          <w:color w:val="C00000"/>
          <w:sz w:val="24"/>
          <w:szCs w:val="24"/>
          <w:lang w:val="en-US" w:eastAsia="zh-CN"/>
        </w:rPr>
        <w:t>的</w:t>
      </w:r>
      <w:r>
        <w:rPr>
          <w:rFonts w:hint="eastAsia" w:asciiTheme="minorEastAsia" w:hAnsiTheme="minorEastAsia" w:eastAsiaTheme="minorEastAsia" w:cstheme="minorEastAsia"/>
          <w:color w:val="C00000"/>
          <w:sz w:val="24"/>
          <w:szCs w:val="24"/>
        </w:rPr>
        <w:t>方式</w:t>
      </w:r>
      <w:r>
        <w:rPr>
          <w:rFonts w:hint="eastAsia" w:asciiTheme="minorEastAsia" w:hAnsiTheme="minorEastAsia" w:eastAsiaTheme="minorEastAsia" w:cstheme="minorEastAsia"/>
          <w:color w:val="C00000"/>
          <w:sz w:val="24"/>
          <w:szCs w:val="24"/>
          <w:lang w:val="en-US" w:eastAsia="zh-CN"/>
        </w:rPr>
        <w:t>租赁给目标公司</w:t>
      </w:r>
      <w:r>
        <w:rPr>
          <w:rFonts w:hint="eastAsia" w:asciiTheme="minorEastAsia" w:hAnsiTheme="minorEastAsia" w:eastAsiaTheme="minorEastAsia" w:cstheme="minorEastAsia"/>
          <w:color w:val="C00000"/>
          <w:sz w:val="24"/>
          <w:szCs w:val="24"/>
        </w:rPr>
        <w:t>，年租金人民币壹拾伍万元整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增资完成后双方签订租赁合同）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非政府拆迁等不可抗力影响，甲方不得收回和提高租金。如涉及不可抗力场地拆迁的，目标公司</w:t>
      </w:r>
      <w:r>
        <w:rPr>
          <w:rFonts w:hint="eastAsia" w:asciiTheme="minorEastAsia" w:hAnsiTheme="minorEastAsia" w:eastAsiaTheme="minorEastAsia" w:cstheme="minorEastAsia"/>
          <w:sz w:val="24"/>
          <w:szCs w:val="24"/>
          <w:highlight w:val="none"/>
          <w:lang w:val="en-US" w:eastAsia="zh-CN"/>
        </w:rPr>
        <w:t>负责</w:t>
      </w:r>
      <w:r>
        <w:rPr>
          <w:rFonts w:hint="eastAsia" w:asciiTheme="minorEastAsia" w:hAnsiTheme="minorEastAsia" w:eastAsiaTheme="minorEastAsia" w:cstheme="minorEastAsia"/>
          <w:sz w:val="24"/>
          <w:szCs w:val="24"/>
        </w:rPr>
        <w:t>寻找</w:t>
      </w:r>
      <w:r>
        <w:rPr>
          <w:rFonts w:hint="eastAsia" w:asciiTheme="minorEastAsia" w:hAnsiTheme="minorEastAsia" w:eastAsiaTheme="minorEastAsia" w:cstheme="minorEastAsia"/>
          <w:sz w:val="24"/>
          <w:szCs w:val="24"/>
          <w:lang w:val="en-US" w:eastAsia="zh-CN"/>
        </w:rPr>
        <w:t>租赁（购买）</w:t>
      </w:r>
      <w:r>
        <w:rPr>
          <w:rFonts w:hint="eastAsia" w:asciiTheme="minorEastAsia" w:hAnsiTheme="minorEastAsia" w:eastAsiaTheme="minorEastAsia" w:cstheme="minorEastAsia"/>
          <w:sz w:val="24"/>
          <w:szCs w:val="24"/>
        </w:rPr>
        <w:t>新的营业场所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但甲方在有条件的情况下，应充分给予支持和优先提供。</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before="156" w:beforeLines="50"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15.2</w:t>
      </w:r>
      <w:r>
        <w:rPr>
          <w:rFonts w:hint="eastAsia" w:ascii="宋体" w:hAnsi="宋体" w:eastAsia="宋体"/>
          <w:color w:val="C00000"/>
          <w:sz w:val="24"/>
          <w:szCs w:val="24"/>
          <w:lang w:val="en-US" w:eastAsia="zh-CN"/>
        </w:rPr>
        <w:t>甲方及所属子公司，凡股份公司中标的项目，项目工地实验室建设和相关试验检测业务必须委托天翔检测公司进行。甲方所属子公司，无自有实验室的，亦需将项目工地实验室建设和相关试验检测业务在符合政策规定和价格、服务标准等相同条件下委托目标公司进行。</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before="156" w:beforeLines="50"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15.3</w:t>
      </w:r>
      <w:r>
        <w:rPr>
          <w:rFonts w:hint="eastAsia" w:ascii="宋体" w:hAnsi="宋体" w:eastAsia="宋体"/>
          <w:color w:val="C00000"/>
          <w:sz w:val="24"/>
          <w:szCs w:val="24"/>
          <w:lang w:val="en-US" w:eastAsia="zh-CN"/>
        </w:rPr>
        <w:t>乙、丙、丁方在本协议签订之日起三日内，各向目标公司交纳保证金壹拾万元，若不参加本次增资扩股股权摘牌，保证金不予退还。</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before="156" w:beforeLines="50" w:line="360" w:lineRule="auto"/>
        <w:ind w:firstLine="480" w:firstLineChars="200"/>
        <w:rPr>
          <w:rFonts w:ascii="宋体" w:hAnsi="宋体" w:eastAsia="宋体"/>
          <w:sz w:val="24"/>
          <w:szCs w:val="24"/>
        </w:rPr>
      </w:pPr>
      <w:r>
        <w:rPr>
          <w:rFonts w:hint="eastAsia" w:ascii="宋体" w:hAnsi="宋体" w:eastAsia="宋体"/>
          <w:sz w:val="24"/>
          <w:szCs w:val="24"/>
        </w:rPr>
        <w:t>15.</w:t>
      </w:r>
      <w:r>
        <w:rPr>
          <w:rFonts w:hint="eastAsia" w:ascii="宋体" w:hAnsi="宋体" w:eastAsia="宋体"/>
          <w:sz w:val="24"/>
          <w:szCs w:val="24"/>
          <w:lang w:val="en-US" w:eastAsia="zh-CN"/>
        </w:rPr>
        <w:t>3</w:t>
      </w:r>
      <w:r>
        <w:rPr>
          <w:rFonts w:hint="eastAsia" w:ascii="宋体" w:hAnsi="宋体" w:eastAsia="宋体"/>
          <w:sz w:val="24"/>
          <w:szCs w:val="24"/>
        </w:rPr>
        <w:t>本协议一式</w:t>
      </w:r>
      <w:r>
        <w:rPr>
          <w:rFonts w:hint="eastAsia" w:ascii="宋体" w:hAnsi="宋体" w:eastAsia="宋体"/>
          <w:color w:val="C00000"/>
          <w:sz w:val="24"/>
          <w:szCs w:val="24"/>
        </w:rPr>
        <w:t>十</w:t>
      </w:r>
      <w:r>
        <w:rPr>
          <w:rFonts w:hint="eastAsia" w:ascii="宋体" w:hAnsi="宋体" w:eastAsia="宋体"/>
          <w:sz w:val="24"/>
          <w:szCs w:val="24"/>
        </w:rPr>
        <w:t>份，甲方持</w:t>
      </w:r>
      <w:r>
        <w:rPr>
          <w:rFonts w:hint="eastAsia" w:ascii="宋体" w:hAnsi="宋体" w:eastAsia="宋体"/>
          <w:sz w:val="24"/>
          <w:szCs w:val="24"/>
          <w:lang w:val="en-US" w:eastAsia="zh-CN"/>
        </w:rPr>
        <w:t>二</w:t>
      </w:r>
      <w:r>
        <w:rPr>
          <w:rFonts w:hint="eastAsia" w:ascii="宋体" w:hAnsi="宋体" w:eastAsia="宋体"/>
          <w:sz w:val="24"/>
          <w:szCs w:val="24"/>
        </w:rPr>
        <w:t>份，乙方持</w:t>
      </w:r>
      <w:r>
        <w:rPr>
          <w:rFonts w:hint="eastAsia" w:ascii="宋体" w:hAnsi="宋体" w:eastAsia="宋体"/>
          <w:sz w:val="24"/>
          <w:szCs w:val="24"/>
          <w:lang w:val="en-US" w:eastAsia="zh-CN"/>
        </w:rPr>
        <w:t>二</w:t>
      </w:r>
      <w:r>
        <w:rPr>
          <w:rFonts w:hint="eastAsia" w:ascii="宋体" w:hAnsi="宋体" w:eastAsia="宋体"/>
          <w:sz w:val="24"/>
          <w:szCs w:val="24"/>
        </w:rPr>
        <w:t>份，</w:t>
      </w:r>
      <w:r>
        <w:rPr>
          <w:rFonts w:hint="eastAsia" w:ascii="宋体" w:hAnsi="宋体" w:eastAsia="宋体"/>
          <w:sz w:val="24"/>
          <w:szCs w:val="24"/>
          <w:lang w:val="en-US" w:eastAsia="zh-CN"/>
        </w:rPr>
        <w:t>丙方持二份，丁方二份，</w:t>
      </w:r>
      <w:r>
        <w:rPr>
          <w:rFonts w:hint="eastAsia" w:ascii="宋体" w:hAnsi="宋体" w:eastAsia="宋体"/>
          <w:sz w:val="24"/>
          <w:szCs w:val="24"/>
        </w:rPr>
        <w:t>目标公司持</w:t>
      </w:r>
      <w:r>
        <w:rPr>
          <w:rFonts w:hint="eastAsia" w:ascii="宋体" w:hAnsi="宋体" w:eastAsia="宋体"/>
          <w:color w:val="C00000"/>
          <w:sz w:val="24"/>
          <w:szCs w:val="24"/>
        </w:rPr>
        <w:t>二</w:t>
      </w:r>
      <w:r>
        <w:rPr>
          <w:rFonts w:hint="eastAsia" w:ascii="宋体" w:hAnsi="宋体" w:eastAsia="宋体"/>
          <w:sz w:val="24"/>
          <w:szCs w:val="24"/>
        </w:rPr>
        <w:t>份。</w:t>
      </w:r>
    </w:p>
    <w:p>
      <w:pPr>
        <w:spacing w:before="156" w:beforeLines="50" w:line="360" w:lineRule="auto"/>
        <w:ind w:firstLine="470" w:firstLineChars="196"/>
        <w:rPr>
          <w:rFonts w:ascii="宋体" w:hAnsi="宋体"/>
          <w:color w:val="000000"/>
          <w:sz w:val="24"/>
        </w:rPr>
      </w:pPr>
      <w:r>
        <w:rPr>
          <w:rFonts w:hint="eastAsia" w:ascii="宋体" w:hAnsi="宋体"/>
          <w:sz w:val="24"/>
        </w:rPr>
        <w:t>15.</w:t>
      </w:r>
      <w:r>
        <w:rPr>
          <w:rFonts w:hint="eastAsia" w:ascii="宋体" w:hAnsi="宋体"/>
          <w:sz w:val="24"/>
          <w:lang w:val="en-US" w:eastAsia="zh-CN"/>
        </w:rPr>
        <w:t>4</w:t>
      </w:r>
      <w:r>
        <w:rPr>
          <w:rFonts w:hint="eastAsia" w:ascii="宋体" w:hAnsi="宋体"/>
          <w:color w:val="000000"/>
          <w:sz w:val="24"/>
        </w:rPr>
        <w:t xml:space="preserve"> 本协议未尽事宜，由各方另行协商解决。</w:t>
      </w:r>
    </w:p>
    <w:p>
      <w:pPr>
        <w:spacing w:before="156" w:beforeLines="50" w:line="360" w:lineRule="auto"/>
        <w:ind w:firstLine="470" w:firstLineChars="196"/>
        <w:jc w:val="center"/>
        <w:rPr>
          <w:rFonts w:ascii="宋体" w:hAnsi="宋体"/>
          <w:color w:val="000000"/>
          <w:sz w:val="24"/>
        </w:rPr>
      </w:pPr>
      <w:r>
        <w:rPr>
          <w:rFonts w:hint="eastAsia" w:ascii="宋体" w:hAnsi="宋体"/>
          <w:color w:val="000000"/>
          <w:sz w:val="24"/>
        </w:rPr>
        <w:t>（以下无正文，仅为签章页）</w:t>
      </w:r>
    </w:p>
    <w:p>
      <w:pPr>
        <w:spacing w:before="156" w:beforeLines="50" w:line="360" w:lineRule="auto"/>
        <w:jc w:val="left"/>
        <w:rPr>
          <w:rFonts w:asciiTheme="minorEastAsia" w:hAnsiTheme="minorEastAsia" w:eastAsiaTheme="minorEastAsia"/>
          <w:b/>
          <w:sz w:val="24"/>
        </w:rPr>
      </w:pPr>
      <w:r>
        <w:rPr>
          <w:rFonts w:ascii="宋体" w:hAnsi="宋体"/>
          <w:sz w:val="24"/>
        </w:rPr>
        <w:br w:type="page"/>
      </w:r>
      <w:r>
        <w:rPr>
          <w:rFonts w:hint="eastAsia" w:ascii="宋体" w:hAnsi="宋体"/>
          <w:sz w:val="24"/>
          <w:lang w:val="en-US" w:eastAsia="zh-CN"/>
        </w:rPr>
        <w:t xml:space="preserve">    </w:t>
      </w:r>
      <w:r>
        <w:rPr>
          <w:rFonts w:hint="eastAsia" w:ascii="宋体" w:hAnsi="宋体"/>
          <w:b/>
          <w:sz w:val="24"/>
        </w:rPr>
        <w:t>（本页</w:t>
      </w:r>
      <w:r>
        <w:rPr>
          <w:rFonts w:hint="eastAsia" w:asciiTheme="minorEastAsia" w:hAnsiTheme="minorEastAsia" w:eastAsiaTheme="minorEastAsia"/>
          <w:b/>
          <w:sz w:val="24"/>
        </w:rPr>
        <w:t>无正文，为《</w:t>
      </w:r>
      <w:r>
        <w:rPr>
          <w:rFonts w:hint="eastAsia" w:asciiTheme="minorEastAsia" w:hAnsiTheme="minorEastAsia" w:eastAsiaTheme="minorEastAsia" w:cstheme="minorEastAsia"/>
          <w:b/>
          <w:color w:val="000000" w:themeColor="text1"/>
          <w:sz w:val="24"/>
          <w:szCs w:val="24"/>
        </w:rPr>
        <w:t>青海省天翔工程科研检测有限公司</w:t>
      </w:r>
      <w:r>
        <w:rPr>
          <w:rFonts w:hint="eastAsia" w:asciiTheme="minorEastAsia" w:hAnsiTheme="minorEastAsia" w:eastAsiaTheme="minorEastAsia" w:cstheme="minorEastAsia"/>
          <w:b/>
          <w:color w:val="000000" w:themeColor="text1"/>
          <w:sz w:val="24"/>
          <w:szCs w:val="24"/>
          <w:lang w:val="en-US" w:eastAsia="zh-CN"/>
        </w:rPr>
        <w:t>混</w:t>
      </w:r>
      <w:r>
        <w:rPr>
          <w:rFonts w:hint="eastAsia" w:asciiTheme="minorEastAsia" w:hAnsiTheme="minorEastAsia" w:eastAsiaTheme="minorEastAsia" w:cstheme="minorEastAsia"/>
          <w:b/>
          <w:sz w:val="24"/>
          <w:szCs w:val="24"/>
          <w:lang w:val="en-US" w:eastAsia="zh-CN"/>
        </w:rPr>
        <w:t>改</w:t>
      </w:r>
      <w:r>
        <w:rPr>
          <w:rFonts w:hint="eastAsia" w:asciiTheme="minorEastAsia" w:hAnsiTheme="minorEastAsia" w:eastAsiaTheme="minorEastAsia" w:cstheme="minorEastAsia"/>
          <w:b/>
          <w:sz w:val="24"/>
          <w:szCs w:val="24"/>
        </w:rPr>
        <w:t>增资</w:t>
      </w:r>
      <w:r>
        <w:rPr>
          <w:rFonts w:hint="eastAsia" w:asciiTheme="minorEastAsia" w:hAnsiTheme="minorEastAsia" w:eastAsiaTheme="minorEastAsia" w:cstheme="minorEastAsia"/>
          <w:b/>
          <w:sz w:val="24"/>
          <w:szCs w:val="24"/>
          <w:lang w:val="en-US" w:eastAsia="zh-CN"/>
        </w:rPr>
        <w:t>扩股意向</w:t>
      </w:r>
      <w:r>
        <w:rPr>
          <w:rFonts w:hint="eastAsia" w:asciiTheme="minorEastAsia" w:hAnsiTheme="minorEastAsia" w:eastAsiaTheme="minorEastAsia" w:cstheme="minorEastAsia"/>
          <w:b/>
          <w:sz w:val="24"/>
          <w:szCs w:val="24"/>
        </w:rPr>
        <w:t>协议</w:t>
      </w:r>
      <w:r>
        <w:rPr>
          <w:rFonts w:hint="eastAsia" w:asciiTheme="minorEastAsia" w:hAnsiTheme="minorEastAsia" w:eastAsiaTheme="minorEastAsia"/>
          <w:b/>
          <w:sz w:val="24"/>
        </w:rPr>
        <w:t>》签章页）</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甲方：</w:t>
      </w:r>
      <w:r>
        <w:rPr>
          <w:rFonts w:ascii="宋体" w:hAnsi="宋体"/>
          <w:b/>
        </w:rPr>
        <w:t xml:space="preserve"> </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法定代表人或授权代表：</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乙方：</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法定代表人或授权代表：</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rPr>
        <w:t>丙方：</w:t>
      </w:r>
      <w:r>
        <w:rPr>
          <w:rFonts w:ascii="宋体" w:hAnsi="宋体"/>
          <w:b/>
        </w:rPr>
        <w:t xml:space="preserve"> </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法定代表人或授权代表：</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ind w:firstLine="482" w:firstLineChars="200"/>
        <w:jc w:val="both"/>
        <w:rPr>
          <w:rFonts w:hint="eastAsia" w:ascii="宋体" w:hAnsi="宋体"/>
          <w:b/>
          <w:lang w:val="en-US" w:eastAsia="zh-CN"/>
        </w:rPr>
      </w:pPr>
    </w:p>
    <w:p>
      <w:pPr>
        <w:pStyle w:val="8"/>
        <w:tabs>
          <w:tab w:val="left" w:pos="10980"/>
        </w:tabs>
        <w:snapToGrid w:val="0"/>
        <w:spacing w:before="156" w:beforeLines="50" w:beforeAutospacing="0" w:after="0" w:afterAutospacing="0" w:line="360" w:lineRule="auto"/>
        <w:ind w:firstLine="482" w:firstLineChars="200"/>
        <w:jc w:val="both"/>
        <w:rPr>
          <w:rFonts w:ascii="宋体" w:hAnsi="宋体"/>
          <w:b/>
        </w:rPr>
      </w:pPr>
      <w:r>
        <w:rPr>
          <w:rFonts w:hint="eastAsia" w:ascii="宋体" w:hAnsi="宋体"/>
          <w:b/>
          <w:lang w:val="en-US" w:eastAsia="zh-CN"/>
        </w:rPr>
        <w:t>丁</w:t>
      </w:r>
      <w:r>
        <w:rPr>
          <w:rFonts w:hint="eastAsia" w:ascii="宋体" w:hAnsi="宋体"/>
          <w:b/>
        </w:rPr>
        <w:t>方：</w:t>
      </w:r>
      <w:r>
        <w:rPr>
          <w:rFonts w:ascii="宋体" w:hAnsi="宋体"/>
          <w:b/>
        </w:rPr>
        <w:t xml:space="preserve"> </w:t>
      </w: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p>
    <w:p>
      <w:pPr>
        <w:pStyle w:val="8"/>
        <w:tabs>
          <w:tab w:val="left" w:pos="10980"/>
        </w:tabs>
        <w:snapToGrid w:val="0"/>
        <w:spacing w:before="156" w:beforeLines="50" w:beforeAutospacing="0" w:after="0" w:afterAutospacing="0" w:line="360" w:lineRule="auto"/>
        <w:ind w:firstLine="480" w:firstLineChars="200"/>
        <w:jc w:val="both"/>
        <w:rPr>
          <w:rFonts w:ascii="宋体" w:hAnsi="宋体"/>
        </w:rPr>
      </w:pPr>
      <w:r>
        <w:rPr>
          <w:rFonts w:hint="eastAsia" w:ascii="宋体" w:hAnsi="宋体"/>
        </w:rPr>
        <w:t>法定代表人或授权代表：</w:t>
      </w:r>
      <w:r>
        <w:rPr>
          <w:rFonts w:hint="eastAsia" w:ascii="宋体" w:hAnsi="宋体"/>
          <w:u w:val="single"/>
        </w:rPr>
        <w:t xml:space="preserve">               </w:t>
      </w:r>
    </w:p>
    <w:p>
      <w:pPr>
        <w:pStyle w:val="8"/>
        <w:tabs>
          <w:tab w:val="left" w:pos="10980"/>
        </w:tabs>
        <w:snapToGrid w:val="0"/>
        <w:spacing w:before="156" w:beforeLines="50" w:beforeAutospacing="0" w:after="0" w:afterAutospacing="0" w:line="360" w:lineRule="auto"/>
        <w:jc w:val="both"/>
        <w:rPr>
          <w:u w:val="single"/>
        </w:rPr>
      </w:pPr>
    </w:p>
    <w:p>
      <w:pPr>
        <w:pStyle w:val="8"/>
        <w:tabs>
          <w:tab w:val="left" w:pos="10980"/>
        </w:tabs>
        <w:snapToGrid w:val="0"/>
        <w:spacing w:before="156" w:beforeLines="50" w:beforeAutospacing="0" w:after="0" w:afterAutospacing="0" w:line="360" w:lineRule="auto"/>
        <w:ind w:firstLine="4900" w:firstLineChars="2042"/>
        <w:jc w:val="both"/>
        <w:rPr>
          <w:u w:val="single"/>
        </w:rPr>
      </w:pPr>
    </w:p>
    <w:p>
      <w:pPr>
        <w:pStyle w:val="8"/>
        <w:tabs>
          <w:tab w:val="left" w:pos="10980"/>
        </w:tabs>
        <w:snapToGrid w:val="0"/>
        <w:spacing w:before="156" w:beforeLines="50" w:beforeAutospacing="0" w:after="0" w:afterAutospacing="0" w:line="360" w:lineRule="auto"/>
        <w:ind w:firstLine="4900" w:firstLineChars="2042"/>
        <w:jc w:val="both"/>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8"/>
        <w:tabs>
          <w:tab w:val="left" w:pos="10980"/>
        </w:tabs>
        <w:snapToGrid w:val="0"/>
        <w:spacing w:before="156" w:beforeLines="50" w:beforeAutospacing="0" w:after="0" w:afterAutospacing="0" w:line="360" w:lineRule="auto"/>
        <w:ind w:firstLine="465"/>
        <w:jc w:val="both"/>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A083E"/>
    <w:multiLevelType w:val="singleLevel"/>
    <w:tmpl w:val="610A083E"/>
    <w:lvl w:ilvl="0" w:tentative="0">
      <w:start w:val="15"/>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1050"/>
    <w:rsid w:val="00001B97"/>
    <w:rsid w:val="00002643"/>
    <w:rsid w:val="000036D6"/>
    <w:rsid w:val="000233FD"/>
    <w:rsid w:val="00026793"/>
    <w:rsid w:val="00043164"/>
    <w:rsid w:val="00051479"/>
    <w:rsid w:val="00051A93"/>
    <w:rsid w:val="00056B3F"/>
    <w:rsid w:val="000610AA"/>
    <w:rsid w:val="000744B1"/>
    <w:rsid w:val="00074C66"/>
    <w:rsid w:val="000845C7"/>
    <w:rsid w:val="00084607"/>
    <w:rsid w:val="00090189"/>
    <w:rsid w:val="000903BF"/>
    <w:rsid w:val="00094764"/>
    <w:rsid w:val="000A3F8D"/>
    <w:rsid w:val="000B5784"/>
    <w:rsid w:val="000B677D"/>
    <w:rsid w:val="000B6EA3"/>
    <w:rsid w:val="000B7E33"/>
    <w:rsid w:val="000D0101"/>
    <w:rsid w:val="000D3594"/>
    <w:rsid w:val="000E3E19"/>
    <w:rsid w:val="000E4EBD"/>
    <w:rsid w:val="001218EC"/>
    <w:rsid w:val="00141786"/>
    <w:rsid w:val="00142440"/>
    <w:rsid w:val="00186BA6"/>
    <w:rsid w:val="00196C3A"/>
    <w:rsid w:val="001A7A68"/>
    <w:rsid w:val="001B0DB8"/>
    <w:rsid w:val="001B416F"/>
    <w:rsid w:val="001B6C38"/>
    <w:rsid w:val="001C149A"/>
    <w:rsid w:val="001E2FA6"/>
    <w:rsid w:val="001E4583"/>
    <w:rsid w:val="001F4199"/>
    <w:rsid w:val="001F7ED5"/>
    <w:rsid w:val="0021565D"/>
    <w:rsid w:val="00221B05"/>
    <w:rsid w:val="002231B8"/>
    <w:rsid w:val="002301EB"/>
    <w:rsid w:val="00232449"/>
    <w:rsid w:val="00235369"/>
    <w:rsid w:val="00245D4A"/>
    <w:rsid w:val="002536A3"/>
    <w:rsid w:val="00255AA5"/>
    <w:rsid w:val="00261C5F"/>
    <w:rsid w:val="002625CA"/>
    <w:rsid w:val="00270D03"/>
    <w:rsid w:val="0028631B"/>
    <w:rsid w:val="00286BB6"/>
    <w:rsid w:val="002871BA"/>
    <w:rsid w:val="00291651"/>
    <w:rsid w:val="00292A94"/>
    <w:rsid w:val="00294224"/>
    <w:rsid w:val="002A01D3"/>
    <w:rsid w:val="002A6687"/>
    <w:rsid w:val="002B180C"/>
    <w:rsid w:val="002C00DC"/>
    <w:rsid w:val="002C5C2F"/>
    <w:rsid w:val="002E05B2"/>
    <w:rsid w:val="002E264D"/>
    <w:rsid w:val="002E3571"/>
    <w:rsid w:val="002E381A"/>
    <w:rsid w:val="002F5ED9"/>
    <w:rsid w:val="00303B16"/>
    <w:rsid w:val="00311DF6"/>
    <w:rsid w:val="003243AE"/>
    <w:rsid w:val="0033478A"/>
    <w:rsid w:val="00352460"/>
    <w:rsid w:val="00352D76"/>
    <w:rsid w:val="00354C6B"/>
    <w:rsid w:val="00361142"/>
    <w:rsid w:val="00361CBC"/>
    <w:rsid w:val="00361E8D"/>
    <w:rsid w:val="003626A6"/>
    <w:rsid w:val="00365403"/>
    <w:rsid w:val="00376815"/>
    <w:rsid w:val="00384BC1"/>
    <w:rsid w:val="00385A38"/>
    <w:rsid w:val="00395C7C"/>
    <w:rsid w:val="003A1079"/>
    <w:rsid w:val="003A16B8"/>
    <w:rsid w:val="003A592F"/>
    <w:rsid w:val="003D0CCB"/>
    <w:rsid w:val="003D1911"/>
    <w:rsid w:val="003F2B89"/>
    <w:rsid w:val="00401EF5"/>
    <w:rsid w:val="004037A3"/>
    <w:rsid w:val="0041250A"/>
    <w:rsid w:val="00426EB3"/>
    <w:rsid w:val="00435AD0"/>
    <w:rsid w:val="00436B40"/>
    <w:rsid w:val="0046437C"/>
    <w:rsid w:val="0046769A"/>
    <w:rsid w:val="004707BE"/>
    <w:rsid w:val="00470B28"/>
    <w:rsid w:val="004752C5"/>
    <w:rsid w:val="00476194"/>
    <w:rsid w:val="00477944"/>
    <w:rsid w:val="00481DC7"/>
    <w:rsid w:val="0049216D"/>
    <w:rsid w:val="00494372"/>
    <w:rsid w:val="00495A73"/>
    <w:rsid w:val="004A0002"/>
    <w:rsid w:val="004A78B9"/>
    <w:rsid w:val="004E2417"/>
    <w:rsid w:val="004F5B54"/>
    <w:rsid w:val="004F5CC8"/>
    <w:rsid w:val="0050309A"/>
    <w:rsid w:val="005078BF"/>
    <w:rsid w:val="00517A39"/>
    <w:rsid w:val="00517BE5"/>
    <w:rsid w:val="00525934"/>
    <w:rsid w:val="005263D0"/>
    <w:rsid w:val="005440DD"/>
    <w:rsid w:val="005666CF"/>
    <w:rsid w:val="00571B88"/>
    <w:rsid w:val="00571C9F"/>
    <w:rsid w:val="0057433A"/>
    <w:rsid w:val="00575742"/>
    <w:rsid w:val="005776A4"/>
    <w:rsid w:val="00586101"/>
    <w:rsid w:val="005A440C"/>
    <w:rsid w:val="005C5A5A"/>
    <w:rsid w:val="005D097E"/>
    <w:rsid w:val="005F2245"/>
    <w:rsid w:val="00603A80"/>
    <w:rsid w:val="0061359A"/>
    <w:rsid w:val="00626540"/>
    <w:rsid w:val="00642BCB"/>
    <w:rsid w:val="00644F16"/>
    <w:rsid w:val="00655617"/>
    <w:rsid w:val="00656500"/>
    <w:rsid w:val="006709EF"/>
    <w:rsid w:val="0067546E"/>
    <w:rsid w:val="00680569"/>
    <w:rsid w:val="00680FEE"/>
    <w:rsid w:val="00682F4A"/>
    <w:rsid w:val="00687CF6"/>
    <w:rsid w:val="006903EB"/>
    <w:rsid w:val="006A5197"/>
    <w:rsid w:val="006B0D39"/>
    <w:rsid w:val="006B1730"/>
    <w:rsid w:val="006C3196"/>
    <w:rsid w:val="006D7E92"/>
    <w:rsid w:val="006E24C8"/>
    <w:rsid w:val="00705027"/>
    <w:rsid w:val="00705EB3"/>
    <w:rsid w:val="00767F5A"/>
    <w:rsid w:val="00773264"/>
    <w:rsid w:val="00775794"/>
    <w:rsid w:val="00780F18"/>
    <w:rsid w:val="007860C0"/>
    <w:rsid w:val="00790D54"/>
    <w:rsid w:val="00793738"/>
    <w:rsid w:val="0079443B"/>
    <w:rsid w:val="00797C34"/>
    <w:rsid w:val="007B0DD7"/>
    <w:rsid w:val="007B1414"/>
    <w:rsid w:val="007B2958"/>
    <w:rsid w:val="007D2B95"/>
    <w:rsid w:val="007E0157"/>
    <w:rsid w:val="007E3C95"/>
    <w:rsid w:val="007F4D0D"/>
    <w:rsid w:val="0081060C"/>
    <w:rsid w:val="00812DC6"/>
    <w:rsid w:val="0081679E"/>
    <w:rsid w:val="00822476"/>
    <w:rsid w:val="00823B48"/>
    <w:rsid w:val="0082446A"/>
    <w:rsid w:val="00826995"/>
    <w:rsid w:val="00860102"/>
    <w:rsid w:val="00863BD0"/>
    <w:rsid w:val="0086502B"/>
    <w:rsid w:val="00877D07"/>
    <w:rsid w:val="00880594"/>
    <w:rsid w:val="0088474B"/>
    <w:rsid w:val="00891839"/>
    <w:rsid w:val="008924F8"/>
    <w:rsid w:val="008A38F7"/>
    <w:rsid w:val="008B1B6C"/>
    <w:rsid w:val="008C2290"/>
    <w:rsid w:val="008C69A1"/>
    <w:rsid w:val="008D7442"/>
    <w:rsid w:val="008E0FB5"/>
    <w:rsid w:val="008E1868"/>
    <w:rsid w:val="008F2367"/>
    <w:rsid w:val="008F752B"/>
    <w:rsid w:val="0090264A"/>
    <w:rsid w:val="0090454A"/>
    <w:rsid w:val="00912081"/>
    <w:rsid w:val="00923753"/>
    <w:rsid w:val="009267E2"/>
    <w:rsid w:val="00936D4D"/>
    <w:rsid w:val="00950A25"/>
    <w:rsid w:val="00953868"/>
    <w:rsid w:val="00965979"/>
    <w:rsid w:val="00974F3E"/>
    <w:rsid w:val="00977203"/>
    <w:rsid w:val="009933C2"/>
    <w:rsid w:val="009A74BC"/>
    <w:rsid w:val="009B1656"/>
    <w:rsid w:val="009C03DF"/>
    <w:rsid w:val="009C0443"/>
    <w:rsid w:val="009D1050"/>
    <w:rsid w:val="009D2B6D"/>
    <w:rsid w:val="009D722B"/>
    <w:rsid w:val="009E7D3F"/>
    <w:rsid w:val="00A13500"/>
    <w:rsid w:val="00A16A0C"/>
    <w:rsid w:val="00A17A77"/>
    <w:rsid w:val="00A31277"/>
    <w:rsid w:val="00A34C5F"/>
    <w:rsid w:val="00A35489"/>
    <w:rsid w:val="00A40A55"/>
    <w:rsid w:val="00A41658"/>
    <w:rsid w:val="00A47BE7"/>
    <w:rsid w:val="00A610E4"/>
    <w:rsid w:val="00A61110"/>
    <w:rsid w:val="00A71BAB"/>
    <w:rsid w:val="00A727BE"/>
    <w:rsid w:val="00A82F3D"/>
    <w:rsid w:val="00A86689"/>
    <w:rsid w:val="00A94FEE"/>
    <w:rsid w:val="00AA3A16"/>
    <w:rsid w:val="00AA64E2"/>
    <w:rsid w:val="00AB42E0"/>
    <w:rsid w:val="00AC4932"/>
    <w:rsid w:val="00AD64E5"/>
    <w:rsid w:val="00AE5306"/>
    <w:rsid w:val="00AF56E2"/>
    <w:rsid w:val="00AF6586"/>
    <w:rsid w:val="00B0301D"/>
    <w:rsid w:val="00B048C7"/>
    <w:rsid w:val="00B05713"/>
    <w:rsid w:val="00B17EDF"/>
    <w:rsid w:val="00B2717F"/>
    <w:rsid w:val="00B30882"/>
    <w:rsid w:val="00B4115B"/>
    <w:rsid w:val="00B632C1"/>
    <w:rsid w:val="00B64839"/>
    <w:rsid w:val="00B67A66"/>
    <w:rsid w:val="00B73D32"/>
    <w:rsid w:val="00B75C61"/>
    <w:rsid w:val="00BA5276"/>
    <w:rsid w:val="00BA6949"/>
    <w:rsid w:val="00BB0D9C"/>
    <w:rsid w:val="00BB44F5"/>
    <w:rsid w:val="00BE4AF6"/>
    <w:rsid w:val="00BF4442"/>
    <w:rsid w:val="00C05F11"/>
    <w:rsid w:val="00C12825"/>
    <w:rsid w:val="00C13077"/>
    <w:rsid w:val="00C1401F"/>
    <w:rsid w:val="00C23441"/>
    <w:rsid w:val="00C23BDC"/>
    <w:rsid w:val="00C37772"/>
    <w:rsid w:val="00C4523C"/>
    <w:rsid w:val="00C519B4"/>
    <w:rsid w:val="00C536AD"/>
    <w:rsid w:val="00C5541C"/>
    <w:rsid w:val="00C55AF7"/>
    <w:rsid w:val="00C82CE0"/>
    <w:rsid w:val="00CA2C87"/>
    <w:rsid w:val="00CA4EA0"/>
    <w:rsid w:val="00CB2BFF"/>
    <w:rsid w:val="00CB3602"/>
    <w:rsid w:val="00CC1175"/>
    <w:rsid w:val="00CE7F88"/>
    <w:rsid w:val="00CF0E5E"/>
    <w:rsid w:val="00CF7DAB"/>
    <w:rsid w:val="00D066E2"/>
    <w:rsid w:val="00D22B98"/>
    <w:rsid w:val="00D23306"/>
    <w:rsid w:val="00D24FBC"/>
    <w:rsid w:val="00D5668C"/>
    <w:rsid w:val="00D70471"/>
    <w:rsid w:val="00D925F6"/>
    <w:rsid w:val="00D93999"/>
    <w:rsid w:val="00D977FA"/>
    <w:rsid w:val="00D97E96"/>
    <w:rsid w:val="00DA17AE"/>
    <w:rsid w:val="00DA3108"/>
    <w:rsid w:val="00DB40F6"/>
    <w:rsid w:val="00DE2F0C"/>
    <w:rsid w:val="00DE3DDD"/>
    <w:rsid w:val="00DF4479"/>
    <w:rsid w:val="00E13353"/>
    <w:rsid w:val="00E1404A"/>
    <w:rsid w:val="00E15F13"/>
    <w:rsid w:val="00E25DEE"/>
    <w:rsid w:val="00E27399"/>
    <w:rsid w:val="00E27F30"/>
    <w:rsid w:val="00E30AA4"/>
    <w:rsid w:val="00E30CEB"/>
    <w:rsid w:val="00E66AD2"/>
    <w:rsid w:val="00E72093"/>
    <w:rsid w:val="00E7651A"/>
    <w:rsid w:val="00E76D0E"/>
    <w:rsid w:val="00E83367"/>
    <w:rsid w:val="00E90A5E"/>
    <w:rsid w:val="00EA177A"/>
    <w:rsid w:val="00EA31F1"/>
    <w:rsid w:val="00EC2D65"/>
    <w:rsid w:val="00ED1C7E"/>
    <w:rsid w:val="00ED663F"/>
    <w:rsid w:val="00EE03ED"/>
    <w:rsid w:val="00EE1048"/>
    <w:rsid w:val="00EF5733"/>
    <w:rsid w:val="00EF6A85"/>
    <w:rsid w:val="00F03050"/>
    <w:rsid w:val="00F11AEF"/>
    <w:rsid w:val="00F133C1"/>
    <w:rsid w:val="00F213D1"/>
    <w:rsid w:val="00F32FD0"/>
    <w:rsid w:val="00F33BDC"/>
    <w:rsid w:val="00F347A3"/>
    <w:rsid w:val="00F3605E"/>
    <w:rsid w:val="00F41AF9"/>
    <w:rsid w:val="00F429D2"/>
    <w:rsid w:val="00F531BD"/>
    <w:rsid w:val="00F75724"/>
    <w:rsid w:val="00F760EE"/>
    <w:rsid w:val="00F90A4A"/>
    <w:rsid w:val="00FC0BB5"/>
    <w:rsid w:val="00FD70BD"/>
    <w:rsid w:val="023A6ED2"/>
    <w:rsid w:val="04967E99"/>
    <w:rsid w:val="05843484"/>
    <w:rsid w:val="09291E37"/>
    <w:rsid w:val="0AE767EC"/>
    <w:rsid w:val="0C78264E"/>
    <w:rsid w:val="0E3D7BF4"/>
    <w:rsid w:val="140F1F4D"/>
    <w:rsid w:val="15902E14"/>
    <w:rsid w:val="16D35458"/>
    <w:rsid w:val="1ABC439F"/>
    <w:rsid w:val="1DC45B70"/>
    <w:rsid w:val="1E2D16D3"/>
    <w:rsid w:val="1F8912EF"/>
    <w:rsid w:val="1FD445F0"/>
    <w:rsid w:val="1FE96B7E"/>
    <w:rsid w:val="20FC619F"/>
    <w:rsid w:val="2C8621B5"/>
    <w:rsid w:val="2FDF0DE5"/>
    <w:rsid w:val="30316658"/>
    <w:rsid w:val="388776D8"/>
    <w:rsid w:val="3D6117BF"/>
    <w:rsid w:val="3DAD2C61"/>
    <w:rsid w:val="3F005E08"/>
    <w:rsid w:val="41904B95"/>
    <w:rsid w:val="43797DDD"/>
    <w:rsid w:val="4485078B"/>
    <w:rsid w:val="45551C9E"/>
    <w:rsid w:val="462671BE"/>
    <w:rsid w:val="4C3820A3"/>
    <w:rsid w:val="507E54BB"/>
    <w:rsid w:val="55F1366A"/>
    <w:rsid w:val="57704B90"/>
    <w:rsid w:val="581419BE"/>
    <w:rsid w:val="5AB6712E"/>
    <w:rsid w:val="6100370F"/>
    <w:rsid w:val="623A15D5"/>
    <w:rsid w:val="647E56F7"/>
    <w:rsid w:val="651D7C0E"/>
    <w:rsid w:val="66DA159F"/>
    <w:rsid w:val="6AB942AF"/>
    <w:rsid w:val="6B18722E"/>
    <w:rsid w:val="6FBE0C4E"/>
    <w:rsid w:val="7982708E"/>
    <w:rsid w:val="7A3D0807"/>
    <w:rsid w:val="7CEE11BA"/>
    <w:rsid w:val="7CF64C6B"/>
    <w:rsid w:val="7D29047F"/>
    <w:rsid w:val="7F0D2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ody Text Indent"/>
    <w:basedOn w:val="1"/>
    <w:link w:val="18"/>
    <w:qFormat/>
    <w:uiPriority w:val="0"/>
    <w:pPr>
      <w:spacing w:line="400" w:lineRule="atLeast"/>
      <w:ind w:firstLine="592" w:firstLineChars="200"/>
    </w:pPr>
    <w:rPr>
      <w:rFonts w:ascii="宋体" w:hAnsi="宋体"/>
      <w:color w:val="000000"/>
      <w:spacing w:val="8"/>
      <w:sz w:val="28"/>
    </w:rPr>
  </w:style>
  <w:style w:type="paragraph" w:styleId="4">
    <w:name w:val="Date"/>
    <w:basedOn w:val="1"/>
    <w:next w:val="1"/>
    <w:link w:val="21"/>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kern w:val="0"/>
      <w:sz w:val="24"/>
    </w:rPr>
  </w:style>
  <w:style w:type="paragraph" w:styleId="9">
    <w:name w:val="annotation subject"/>
    <w:basedOn w:val="2"/>
    <w:next w:val="2"/>
    <w:link w:val="23"/>
    <w:qFormat/>
    <w:uiPriority w:val="0"/>
    <w:rPr>
      <w:b/>
      <w:bCs/>
    </w:rPr>
  </w:style>
  <w:style w:type="character" w:styleId="12">
    <w:name w:val="annotation reference"/>
    <w:basedOn w:val="11"/>
    <w:qFormat/>
    <w:uiPriority w:val="0"/>
    <w:rPr>
      <w:sz w:val="21"/>
      <w:szCs w:val="21"/>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99"/>
    <w:rPr>
      <w:kern w:val="2"/>
      <w:sz w:val="18"/>
      <w:szCs w:val="18"/>
    </w:rPr>
  </w:style>
  <w:style w:type="paragraph" w:customStyle="1" w:styleId="15">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6">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7">
    <w:name w:val="p0"/>
    <w:basedOn w:val="1"/>
    <w:qFormat/>
    <w:uiPriority w:val="0"/>
    <w:pPr>
      <w:widowControl/>
    </w:pPr>
    <w:rPr>
      <w:kern w:val="0"/>
      <w:szCs w:val="21"/>
    </w:rPr>
  </w:style>
  <w:style w:type="character" w:customStyle="1" w:styleId="18">
    <w:name w:val="正文文本缩进 Char"/>
    <w:basedOn w:val="11"/>
    <w:link w:val="3"/>
    <w:qFormat/>
    <w:uiPriority w:val="0"/>
    <w:rPr>
      <w:rFonts w:ascii="宋体" w:hAnsi="宋体"/>
      <w:color w:val="000000"/>
      <w:spacing w:val="8"/>
      <w:kern w:val="2"/>
      <w:sz w:val="28"/>
      <w:szCs w:val="24"/>
    </w:rPr>
  </w:style>
  <w:style w:type="character" w:customStyle="1" w:styleId="19">
    <w:name w:val="批注框文本 Char"/>
    <w:basedOn w:val="11"/>
    <w:link w:val="5"/>
    <w:qFormat/>
    <w:uiPriority w:val="0"/>
    <w:rPr>
      <w:kern w:val="2"/>
      <w:sz w:val="18"/>
      <w:szCs w:val="18"/>
    </w:rPr>
  </w:style>
  <w:style w:type="paragraph" w:customStyle="1" w:styleId="20">
    <w:name w:val="列出段落1"/>
    <w:basedOn w:val="1"/>
    <w:qFormat/>
    <w:uiPriority w:val="0"/>
    <w:pPr>
      <w:ind w:firstLine="420" w:firstLineChars="200"/>
    </w:pPr>
  </w:style>
  <w:style w:type="character" w:customStyle="1" w:styleId="21">
    <w:name w:val="日期 Char"/>
    <w:basedOn w:val="11"/>
    <w:link w:val="4"/>
    <w:qFormat/>
    <w:uiPriority w:val="0"/>
    <w:rPr>
      <w:kern w:val="2"/>
      <w:sz w:val="21"/>
      <w:szCs w:val="24"/>
    </w:rPr>
  </w:style>
  <w:style w:type="character" w:customStyle="1" w:styleId="22">
    <w:name w:val="批注文字 Char"/>
    <w:basedOn w:val="11"/>
    <w:link w:val="2"/>
    <w:qFormat/>
    <w:uiPriority w:val="0"/>
    <w:rPr>
      <w:kern w:val="2"/>
      <w:sz w:val="21"/>
      <w:szCs w:val="24"/>
    </w:rPr>
  </w:style>
  <w:style w:type="character" w:customStyle="1" w:styleId="23">
    <w:name w:val="批注主题 Char"/>
    <w:basedOn w:val="22"/>
    <w:link w:val="9"/>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6C5ED-F507-4711-8787-CAF560B692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775</Words>
  <Characters>4423</Characters>
  <Lines>36</Lines>
  <Paragraphs>10</Paragraphs>
  <TotalTime>2</TotalTime>
  <ScaleCrop>false</ScaleCrop>
  <LinksUpToDate>false</LinksUpToDate>
  <CharactersWithSpaces>5188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2015-10-30T09:12:00Z</dcterms:created>
  <dc:creator>walkinnet</dc:creator>
  <cp:lastModifiedBy>Lenovo</cp:lastModifiedBy>
  <cp:lastPrinted>2015-10-30T10:10:00Z</cp:lastPrinted>
  <dcterms:modified xsi:type="dcterms:W3CDTF">2021-09-08T01:03:01Z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D90962A7E61C4105B974E43452828CE4</vt:lpwstr>
  </property>
</Properties>
</file>